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2" w:rsidRPr="0035671D" w:rsidRDefault="00484E6F">
      <w:pPr>
        <w:rPr>
          <w:rFonts w:asciiTheme="majorHAnsi" w:hAnsiTheme="majorHAnsi"/>
        </w:rPr>
      </w:pPr>
      <w:r w:rsidRPr="0035671D">
        <w:rPr>
          <w:rFonts w:asciiTheme="majorHAnsi" w:hAnsiTheme="majorHAnsi"/>
        </w:rPr>
        <w:t>Pytania:</w:t>
      </w:r>
    </w:p>
    <w:p w:rsidR="00B475E9" w:rsidRPr="00846546" w:rsidRDefault="00484E6F" w:rsidP="00846546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</w:rPr>
      </w:pPr>
      <w:r w:rsidRPr="00B475E9">
        <w:rPr>
          <w:rFonts w:asciiTheme="majorHAnsi" w:hAnsiTheme="majorHAnsi"/>
        </w:rPr>
        <w:t>Jak wygląda kwestia uzupełnień do wniosku o dofinans</w:t>
      </w:r>
      <w:r w:rsidR="00B475E9" w:rsidRPr="00B475E9">
        <w:rPr>
          <w:rFonts w:asciiTheme="majorHAnsi" w:hAnsiTheme="majorHAnsi"/>
        </w:rPr>
        <w:t xml:space="preserve">owanie w programie PO RYBY? </w:t>
      </w:r>
      <w:r w:rsidR="00B475E9">
        <w:rPr>
          <w:rFonts w:asciiTheme="majorHAnsi" w:hAnsiTheme="majorHAnsi"/>
        </w:rPr>
        <w:t>Czy Urząd Marszałkowski będzie zwracał się w tej kwestii do wnioskodawców?</w:t>
      </w:r>
    </w:p>
    <w:p w:rsidR="00B475E9" w:rsidRPr="00846546" w:rsidRDefault="00B475E9" w:rsidP="00846546">
      <w:pPr>
        <w:pStyle w:val="Akapitzlist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Jak udowodnić, że wnioskodawca utrzyma miejsce pracy?</w:t>
      </w:r>
    </w:p>
    <w:p w:rsidR="00B475E9" w:rsidRDefault="00B475E9" w:rsidP="00B475E9">
      <w:pPr>
        <w:pStyle w:val="Akapitzlist"/>
        <w:jc w:val="both"/>
        <w:rPr>
          <w:rFonts w:asciiTheme="majorHAnsi" w:hAnsiTheme="majorHAnsi"/>
        </w:rPr>
      </w:pPr>
    </w:p>
    <w:p w:rsidR="00B475E9" w:rsidRPr="00B475E9" w:rsidRDefault="00B475E9" w:rsidP="00B475E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75E9">
        <w:rPr>
          <w:rFonts w:asciiTheme="majorHAnsi" w:hAnsiTheme="majorHAnsi"/>
        </w:rPr>
        <w:t xml:space="preserve">Wkład własny rzeczowy jest nieograniczony (poza gruntami i nieruchomościami). </w:t>
      </w:r>
      <w:r w:rsidRPr="00B475E9">
        <w:rPr>
          <w:rFonts w:asciiTheme="majorHAnsi" w:hAnsiTheme="majorHAnsi"/>
        </w:rPr>
        <w:br/>
        <w:t xml:space="preserve">Czy oznacza to, że wnioskodawcy mogą dokonywać zakupów towarów i usług związanych z realizacją projektów bez podziału na środki z dotacji i wkład własny, czy też wartość każdego zakupu musi być podzielona w ten </w:t>
      </w:r>
      <w:proofErr w:type="gramStart"/>
      <w:r w:rsidRPr="00B475E9">
        <w:rPr>
          <w:rFonts w:asciiTheme="majorHAnsi" w:hAnsiTheme="majorHAnsi"/>
        </w:rPr>
        <w:t>sposób.</w:t>
      </w:r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>W tym drugim przypadku wkład własny w wysokości 30% zawsze miały charakter finansowy.</w:t>
      </w:r>
    </w:p>
    <w:p w:rsidR="00B475E9" w:rsidRDefault="00B475E9" w:rsidP="00B475E9">
      <w:pPr>
        <w:pStyle w:val="Akapitzlist"/>
        <w:jc w:val="both"/>
        <w:rPr>
          <w:rFonts w:asciiTheme="majorHAnsi" w:hAnsiTheme="majorHAnsi"/>
        </w:rPr>
      </w:pPr>
    </w:p>
    <w:p w:rsidR="00B475E9" w:rsidRDefault="00B475E9" w:rsidP="00B475E9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Przykład: Wnioskodawca chce poszerzyć działalność o usługi handlowe i otworzyć sklep spożywczy. Zakres zadania przedstawia się następująco: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budowa</w:t>
      </w:r>
      <w:proofErr w:type="gramEnd"/>
      <w:r>
        <w:rPr>
          <w:rFonts w:asciiTheme="majorHAnsi" w:hAnsiTheme="majorHAnsi"/>
        </w:rPr>
        <w:t xml:space="preserve"> lokalu – 90 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>,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regały</w:t>
      </w:r>
      <w:proofErr w:type="gramEnd"/>
      <w:r>
        <w:rPr>
          <w:rFonts w:asciiTheme="majorHAnsi" w:hAnsiTheme="majorHAnsi"/>
        </w:rPr>
        <w:t xml:space="preserve"> – 10 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>,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lodówki</w:t>
      </w:r>
      <w:proofErr w:type="gramEnd"/>
      <w:r>
        <w:rPr>
          <w:rFonts w:asciiTheme="majorHAnsi" w:hAnsiTheme="majorHAnsi"/>
        </w:rPr>
        <w:t xml:space="preserve"> – 30 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>,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praca</w:t>
      </w:r>
      <w:proofErr w:type="gramEnd"/>
      <w:r>
        <w:rPr>
          <w:rFonts w:asciiTheme="majorHAnsi" w:hAnsiTheme="majorHAnsi"/>
        </w:rPr>
        <w:t xml:space="preserve"> własna (prace wykończeniowe) – 30 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>,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towary</w:t>
      </w:r>
      <w:proofErr w:type="gramEnd"/>
      <w:r>
        <w:rPr>
          <w:rFonts w:asciiTheme="majorHAnsi" w:hAnsiTheme="majorHAnsi"/>
        </w:rPr>
        <w:t xml:space="preserve"> będące wkładem własnym (kasa, pojemniki na żywność, pozostałe meble) – 10 tyś zł,</w:t>
      </w:r>
    </w:p>
    <w:p w:rsidR="00B475E9" w:rsidRDefault="00B475E9" w:rsidP="00B475E9">
      <w:pPr>
        <w:pStyle w:val="Akapitzlist"/>
        <w:numPr>
          <w:ilvl w:val="0"/>
          <w:numId w:val="3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działka</w:t>
      </w:r>
      <w:proofErr w:type="gramEnd"/>
      <w:r>
        <w:rPr>
          <w:rFonts w:asciiTheme="majorHAnsi" w:hAnsiTheme="majorHAnsi"/>
        </w:rPr>
        <w:t xml:space="preserve">, na której ma być wybudowany lokal – 100 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>,</w:t>
      </w:r>
    </w:p>
    <w:p w:rsidR="00B475E9" w:rsidRDefault="00B475E9" w:rsidP="00B475E9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Wynika z tego, że:</w:t>
      </w:r>
    </w:p>
    <w:p w:rsidR="00B475E9" w:rsidRPr="000C7CA1" w:rsidRDefault="00B475E9" w:rsidP="00B475E9">
      <w:pPr>
        <w:pStyle w:val="Akapitzlist"/>
        <w:numPr>
          <w:ilvl w:val="0"/>
          <w:numId w:val="5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płatności</w:t>
      </w:r>
      <w:proofErr w:type="gramEnd"/>
      <w:r>
        <w:rPr>
          <w:rFonts w:asciiTheme="majorHAnsi" w:hAnsiTheme="majorHAnsi"/>
        </w:rPr>
        <w:t xml:space="preserve"> wnoszą 140 000 zł (90tyś. + 10</w:t>
      </w:r>
      <w:proofErr w:type="gramStart"/>
      <w:r>
        <w:rPr>
          <w:rFonts w:asciiTheme="majorHAnsi" w:hAnsiTheme="majorHAnsi"/>
        </w:rPr>
        <w:t>tyś</w:t>
      </w:r>
      <w:proofErr w:type="gramEnd"/>
      <w:r>
        <w:rPr>
          <w:rFonts w:asciiTheme="majorHAnsi" w:hAnsiTheme="majorHAnsi"/>
        </w:rPr>
        <w:t>. + 30</w:t>
      </w:r>
      <w:proofErr w:type="gramStart"/>
      <w:r>
        <w:rPr>
          <w:rFonts w:asciiTheme="majorHAnsi" w:hAnsiTheme="majorHAnsi"/>
        </w:rPr>
        <w:t>tyś</w:t>
      </w:r>
      <w:proofErr w:type="gramEnd"/>
      <w:r>
        <w:rPr>
          <w:rFonts w:asciiTheme="majorHAnsi" w:hAnsiTheme="majorHAnsi"/>
        </w:rPr>
        <w:t xml:space="preserve">.), </w:t>
      </w:r>
    </w:p>
    <w:p w:rsidR="00B475E9" w:rsidRDefault="00B475E9" w:rsidP="00B475E9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wartość</w:t>
      </w:r>
      <w:proofErr w:type="gramEnd"/>
      <w:r>
        <w:rPr>
          <w:rFonts w:asciiTheme="majorHAnsi" w:hAnsiTheme="majorHAnsi"/>
        </w:rPr>
        <w:t xml:space="preserve"> nakładów rzeczowych wynosi 140tyś.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 xml:space="preserve">., </w:t>
      </w:r>
      <w:proofErr w:type="gramStart"/>
      <w:r>
        <w:rPr>
          <w:rFonts w:asciiTheme="majorHAnsi" w:hAnsiTheme="majorHAnsi"/>
        </w:rPr>
        <w:t>z</w:t>
      </w:r>
      <w:proofErr w:type="gramEnd"/>
      <w:r>
        <w:rPr>
          <w:rFonts w:asciiTheme="majorHAnsi" w:hAnsiTheme="majorHAnsi"/>
        </w:rPr>
        <w:t xml:space="preserve"> czego praca własna i posiadane wyposażenie są kwalifikowalne w całości (30tyś. + 10</w:t>
      </w:r>
      <w:proofErr w:type="gramStart"/>
      <w:r>
        <w:rPr>
          <w:rFonts w:asciiTheme="majorHAnsi" w:hAnsiTheme="majorHAnsi"/>
        </w:rPr>
        <w:t>tyś</w:t>
      </w:r>
      <w:proofErr w:type="gramEnd"/>
      <w:r>
        <w:rPr>
          <w:rFonts w:asciiTheme="majorHAnsi" w:hAnsiTheme="majorHAnsi"/>
        </w:rPr>
        <w:t xml:space="preserve">.),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działka w 20tyś.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 xml:space="preserve"> (10%*200 tyś. </w:t>
      </w:r>
      <w:proofErr w:type="gramStart"/>
      <w:r>
        <w:rPr>
          <w:rFonts w:asciiTheme="majorHAnsi" w:hAnsiTheme="majorHAnsi"/>
        </w:rPr>
        <w:t>kosztów</w:t>
      </w:r>
      <w:proofErr w:type="gramEnd"/>
      <w:r>
        <w:rPr>
          <w:rFonts w:asciiTheme="majorHAnsi" w:hAnsiTheme="majorHAnsi"/>
        </w:rPr>
        <w:t xml:space="preserve"> kwalifikowalnych).</w:t>
      </w:r>
    </w:p>
    <w:p w:rsidR="00B475E9" w:rsidRDefault="00B475E9" w:rsidP="00B475E9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Prosimy o odpowiedź, który z przedstawionych niżej sposobów realizacji zadania jest słuszny?</w:t>
      </w:r>
    </w:p>
    <w:p w:rsidR="00B475E9" w:rsidRDefault="00B475E9" w:rsidP="00B475E9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Sposób nr 1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843"/>
        <w:gridCol w:w="1762"/>
        <w:gridCol w:w="2173"/>
      </w:tblGrid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>Do refundacji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 xml:space="preserve">Jako wkład </w:t>
            </w:r>
            <w:proofErr w:type="gramStart"/>
            <w:r w:rsidRPr="0075175B">
              <w:rPr>
                <w:rFonts w:asciiTheme="majorHAnsi" w:hAnsiTheme="majorHAnsi"/>
                <w:b/>
              </w:rPr>
              <w:t>własny</w:t>
            </w:r>
            <w:proofErr w:type="gramEnd"/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 xml:space="preserve">Jako koszt </w:t>
            </w:r>
            <w:proofErr w:type="gramStart"/>
            <w:r w:rsidRPr="0075175B">
              <w:rPr>
                <w:rFonts w:asciiTheme="majorHAnsi" w:hAnsiTheme="majorHAnsi"/>
                <w:b/>
              </w:rPr>
              <w:t>niekwalifikowalny</w:t>
            </w:r>
            <w:proofErr w:type="gramEnd"/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Budowa lokalu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100 000,00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23 000,00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Regały 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2 300,00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Lodówki 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30 000,00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6 900,00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własna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Wkład własny w postaci towarów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działka</w:t>
            </w:r>
            <w:proofErr w:type="gramEnd"/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80 000,00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righ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razem</w:t>
            </w:r>
            <w:proofErr w:type="gramEnd"/>
          </w:p>
        </w:tc>
        <w:tc>
          <w:tcPr>
            <w:tcW w:w="184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AC3E6A">
              <w:rPr>
                <w:rFonts w:asciiTheme="majorHAnsi" w:hAnsiTheme="majorHAnsi"/>
                <w:b/>
              </w:rPr>
              <w:t>140 000,00</w:t>
            </w:r>
          </w:p>
        </w:tc>
        <w:tc>
          <w:tcPr>
            <w:tcW w:w="1762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AC3E6A">
              <w:rPr>
                <w:rFonts w:asciiTheme="majorHAnsi" w:hAnsiTheme="majorHAnsi"/>
                <w:b/>
              </w:rPr>
              <w:t>60 000,00</w:t>
            </w:r>
          </w:p>
        </w:tc>
        <w:tc>
          <w:tcPr>
            <w:tcW w:w="217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AC3E6A">
              <w:rPr>
                <w:rFonts w:asciiTheme="majorHAnsi" w:hAnsiTheme="majorHAnsi"/>
                <w:b/>
              </w:rPr>
              <w:t>112 200,00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righ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razem</w:t>
            </w:r>
            <w:proofErr w:type="gramEnd"/>
            <w:r>
              <w:rPr>
                <w:rFonts w:asciiTheme="majorHAnsi" w:hAnsiTheme="majorHAnsi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70%</w:t>
            </w:r>
          </w:p>
        </w:tc>
        <w:tc>
          <w:tcPr>
            <w:tcW w:w="1762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30%</w:t>
            </w:r>
          </w:p>
        </w:tc>
        <w:tc>
          <w:tcPr>
            <w:tcW w:w="217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475E9" w:rsidRDefault="00B475E9" w:rsidP="00B475E9">
      <w:pPr>
        <w:ind w:left="709"/>
        <w:jc w:val="both"/>
        <w:rPr>
          <w:rFonts w:asciiTheme="majorHAnsi" w:hAnsiTheme="majorHAnsi"/>
        </w:rPr>
      </w:pPr>
    </w:p>
    <w:p w:rsidR="00B475E9" w:rsidRDefault="00B475E9" w:rsidP="00B475E9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Sposób nr 2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843"/>
        <w:gridCol w:w="1762"/>
        <w:gridCol w:w="2173"/>
      </w:tblGrid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>Do refundacji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 xml:space="preserve">Jako wkład </w:t>
            </w:r>
            <w:proofErr w:type="gramStart"/>
            <w:r w:rsidRPr="0075175B">
              <w:rPr>
                <w:rFonts w:asciiTheme="majorHAnsi" w:hAnsiTheme="majorHAnsi"/>
                <w:b/>
              </w:rPr>
              <w:t>własny</w:t>
            </w:r>
            <w:proofErr w:type="gramEnd"/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B475E9" w:rsidRPr="0075175B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75175B">
              <w:rPr>
                <w:rFonts w:asciiTheme="majorHAnsi" w:hAnsiTheme="majorHAnsi"/>
                <w:b/>
              </w:rPr>
              <w:t xml:space="preserve">Jako koszt </w:t>
            </w:r>
            <w:proofErr w:type="gramStart"/>
            <w:r w:rsidRPr="0075175B">
              <w:rPr>
                <w:rFonts w:asciiTheme="majorHAnsi" w:hAnsiTheme="majorHAnsi"/>
                <w:b/>
              </w:rPr>
              <w:t>niekwalifikowalny</w:t>
            </w:r>
            <w:proofErr w:type="gramEnd"/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Budowa lokalu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70 000,00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23 000,00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Regały 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2 300,00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Lodówki 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21 000,00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6 900,00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własna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Wkład własny w postaci towarów</w:t>
            </w:r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działka</w:t>
            </w:r>
            <w:proofErr w:type="gramEnd"/>
          </w:p>
        </w:tc>
        <w:tc>
          <w:tcPr>
            <w:tcW w:w="184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  <w:tc>
          <w:tcPr>
            <w:tcW w:w="1762" w:type="dxa"/>
            <w:vAlign w:val="center"/>
          </w:tcPr>
          <w:p w:rsidR="00B475E9" w:rsidRPr="00090ADE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20 000,00</w:t>
            </w:r>
          </w:p>
        </w:tc>
        <w:tc>
          <w:tcPr>
            <w:tcW w:w="2173" w:type="dxa"/>
            <w:vAlign w:val="center"/>
          </w:tcPr>
          <w:p w:rsidR="00B475E9" w:rsidRDefault="00B475E9" w:rsidP="00722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80 000,00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righ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razem</w:t>
            </w:r>
            <w:proofErr w:type="gramEnd"/>
          </w:p>
        </w:tc>
        <w:tc>
          <w:tcPr>
            <w:tcW w:w="184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98</w:t>
            </w:r>
            <w:r w:rsidRPr="00AC3E6A">
              <w:rPr>
                <w:rFonts w:asciiTheme="majorHAnsi" w:hAnsiTheme="majorHAnsi"/>
                <w:b/>
              </w:rPr>
              <w:t> 000,00</w:t>
            </w:r>
          </w:p>
        </w:tc>
        <w:tc>
          <w:tcPr>
            <w:tcW w:w="1762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</w:t>
            </w:r>
            <w:r w:rsidRPr="00AC3E6A">
              <w:rPr>
                <w:rFonts w:asciiTheme="majorHAnsi" w:hAnsiTheme="majorHAnsi"/>
                <w:b/>
              </w:rPr>
              <w:t> 000,00</w:t>
            </w:r>
          </w:p>
        </w:tc>
        <w:tc>
          <w:tcPr>
            <w:tcW w:w="217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 w:rsidRPr="00AC3E6A">
              <w:rPr>
                <w:rFonts w:asciiTheme="majorHAnsi" w:hAnsiTheme="majorHAnsi"/>
                <w:b/>
              </w:rPr>
              <w:t>112 200,00</w:t>
            </w:r>
          </w:p>
        </w:tc>
      </w:tr>
      <w:tr w:rsidR="00B475E9" w:rsidTr="0072222A">
        <w:tc>
          <w:tcPr>
            <w:tcW w:w="2693" w:type="dxa"/>
          </w:tcPr>
          <w:p w:rsidR="00B475E9" w:rsidRDefault="00B475E9" w:rsidP="0072222A">
            <w:pPr>
              <w:jc w:val="righ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razem</w:t>
            </w:r>
            <w:proofErr w:type="gramEnd"/>
            <w:r>
              <w:rPr>
                <w:rFonts w:asciiTheme="majorHAnsi" w:hAnsiTheme="majorHAnsi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49,00%</w:t>
            </w:r>
          </w:p>
        </w:tc>
        <w:tc>
          <w:tcPr>
            <w:tcW w:w="1762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51,00%</w:t>
            </w:r>
          </w:p>
        </w:tc>
        <w:tc>
          <w:tcPr>
            <w:tcW w:w="2173" w:type="dxa"/>
            <w:vAlign w:val="center"/>
          </w:tcPr>
          <w:p w:rsidR="00B475E9" w:rsidRPr="00AC3E6A" w:rsidRDefault="00B475E9" w:rsidP="0072222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475E9" w:rsidRDefault="00B475E9" w:rsidP="00B475E9">
      <w:pPr>
        <w:pStyle w:val="Akapitzlist"/>
        <w:jc w:val="both"/>
        <w:rPr>
          <w:rFonts w:asciiTheme="majorHAnsi" w:hAnsiTheme="majorHAnsi"/>
        </w:rPr>
      </w:pPr>
    </w:p>
    <w:p w:rsidR="00A401E3" w:rsidRPr="00A401E3" w:rsidRDefault="00A401E3" w:rsidP="00A401E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401E3">
        <w:rPr>
          <w:rFonts w:asciiTheme="majorHAnsi" w:hAnsiTheme="majorHAnsi"/>
        </w:rPr>
        <w:t xml:space="preserve">Beneficjent jest współwłaścicielem spółki handlowej posiadającej osobowość prawną, </w:t>
      </w:r>
      <w:r w:rsidRPr="00A401E3">
        <w:rPr>
          <w:rFonts w:asciiTheme="majorHAnsi" w:hAnsiTheme="majorHAnsi"/>
        </w:rPr>
        <w:br/>
        <w:t xml:space="preserve">ale jako osoba fizyczna nie prowadzi działalności. Czy w związku z </w:t>
      </w:r>
      <w:proofErr w:type="gramStart"/>
      <w:r w:rsidRPr="00A401E3">
        <w:rPr>
          <w:rFonts w:asciiTheme="majorHAnsi" w:hAnsiTheme="majorHAnsi"/>
        </w:rPr>
        <w:t>tym:</w:t>
      </w:r>
      <w:proofErr w:type="gramEnd"/>
    </w:p>
    <w:p w:rsidR="00A401E3" w:rsidRDefault="00A401E3" w:rsidP="00A401E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A401E3">
        <w:rPr>
          <w:rFonts w:asciiTheme="majorHAnsi" w:hAnsiTheme="majorHAnsi"/>
        </w:rPr>
        <w:t>może</w:t>
      </w:r>
      <w:proofErr w:type="gramEnd"/>
      <w:r w:rsidRPr="00A401E3">
        <w:rPr>
          <w:rFonts w:asciiTheme="majorHAnsi" w:hAnsiTheme="majorHAnsi"/>
        </w:rPr>
        <w:t xml:space="preserve"> on wystąpić o dotację na założenie działalności gospodarczej, czy też z uwagi na to, że posiada udziały w spółce, która jest jednak osobnym podmiotem prawnym – wyłącznie na rozwój działalności,</w:t>
      </w:r>
    </w:p>
    <w:p w:rsidR="00A401E3" w:rsidRPr="00A401E3" w:rsidRDefault="00A401E3" w:rsidP="00A401E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A401E3">
        <w:rPr>
          <w:rFonts w:asciiTheme="majorHAnsi" w:hAnsiTheme="majorHAnsi"/>
        </w:rPr>
        <w:t xml:space="preserve">czy pula środków przypadająca w Programie na jednego beneficjenta będzie w jego przypadku wspólna dla spółki, w której ma udziały i dla </w:t>
      </w:r>
      <w:proofErr w:type="gramStart"/>
      <w:r w:rsidRPr="00A401E3">
        <w:rPr>
          <w:rFonts w:asciiTheme="majorHAnsi" w:hAnsiTheme="majorHAnsi"/>
        </w:rPr>
        <w:t>niego jako</w:t>
      </w:r>
      <w:proofErr w:type="gramEnd"/>
      <w:r w:rsidRPr="00A401E3">
        <w:rPr>
          <w:rFonts w:asciiTheme="majorHAnsi" w:hAnsiTheme="majorHAnsi"/>
        </w:rPr>
        <w:t xml:space="preserve"> dla osoby fizycznej?</w:t>
      </w:r>
    </w:p>
    <w:p w:rsidR="00A401E3" w:rsidRPr="00A401E3" w:rsidRDefault="00A401E3" w:rsidP="00A401E3">
      <w:pPr>
        <w:pStyle w:val="Akapitzlist"/>
        <w:jc w:val="both"/>
        <w:rPr>
          <w:rFonts w:asciiTheme="majorHAnsi" w:hAnsiTheme="majorHAnsi"/>
        </w:rPr>
      </w:pPr>
    </w:p>
    <w:p w:rsidR="00A401E3" w:rsidRPr="00A401E3" w:rsidRDefault="00A401E3" w:rsidP="00A401E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401E3">
        <w:rPr>
          <w:rFonts w:asciiTheme="majorHAnsi" w:hAnsiTheme="majorHAnsi"/>
        </w:rPr>
        <w:t>Czy koszty promocji usług są kwalifikowalne w ramach przedsięwzięcia PROW polegającego na rozwoju działalności gospodarczej?</w:t>
      </w:r>
    </w:p>
    <w:p w:rsidR="00A401E3" w:rsidRPr="00A401E3" w:rsidRDefault="00A401E3" w:rsidP="00A401E3">
      <w:pPr>
        <w:pStyle w:val="Akapitzlist"/>
        <w:jc w:val="both"/>
        <w:rPr>
          <w:rFonts w:asciiTheme="majorHAnsi" w:hAnsiTheme="majorHAnsi"/>
        </w:rPr>
      </w:pPr>
    </w:p>
    <w:p w:rsidR="00A401E3" w:rsidRPr="00A401E3" w:rsidRDefault="00A401E3" w:rsidP="00A401E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401E3">
        <w:rPr>
          <w:rFonts w:asciiTheme="majorHAnsi" w:hAnsiTheme="majorHAnsi"/>
        </w:rPr>
        <w:t>Czy osoba fizyczna, która otrzyma dotację na założenie lub rozwój działalności gospodarczej może przekształcić tę działalność w spółkę cywilną? W rozporządzeniu z dnia 24 września 2015r. w §33 przykłady zmian w sposobie organizacji przedsiębiorstwa odnoszą się do jednostek organizacyjnych, natomiast w przypadku osób fizycznych mowa jest o śmierci beneficjenta.</w:t>
      </w:r>
    </w:p>
    <w:p w:rsidR="00F8124C" w:rsidRPr="00D349CB" w:rsidRDefault="00F8124C" w:rsidP="00D349CB"/>
    <w:p w:rsidR="004711B9" w:rsidRPr="0092060C" w:rsidRDefault="004711B9" w:rsidP="00D349CB">
      <w:pPr>
        <w:jc w:val="both"/>
        <w:rPr>
          <w:rFonts w:cs="TimesNewRoman"/>
        </w:rPr>
      </w:pPr>
      <w:r w:rsidRPr="007E7A01">
        <w:rPr>
          <w:b/>
        </w:rPr>
        <w:t>Ad</w:t>
      </w:r>
      <w:r w:rsidR="00A6188C">
        <w:rPr>
          <w:b/>
        </w:rPr>
        <w:t xml:space="preserve"> </w:t>
      </w:r>
      <w:r w:rsidRPr="007E7A01">
        <w:rPr>
          <w:b/>
        </w:rPr>
        <w:t>1</w:t>
      </w:r>
      <w:r w:rsidRPr="00D349CB">
        <w:t>.</w:t>
      </w:r>
      <w:r w:rsidRPr="00D349CB">
        <w:rPr>
          <w:rFonts w:cs="TimesNewRoman,Bold"/>
          <w:bCs/>
        </w:rPr>
        <w:t xml:space="preserve"> </w:t>
      </w:r>
      <w:r w:rsidR="00D349CB">
        <w:rPr>
          <w:rFonts w:cs="TimesNewRoman,Bold"/>
          <w:bCs/>
        </w:rPr>
        <w:t xml:space="preserve">Zgodnie z Rozporządzeniem Ministra Gospodarki Morskiej i Żeglugi Śródlądowej </w:t>
      </w:r>
      <w:r w:rsidR="00D349CB">
        <w:rPr>
          <w:rFonts w:cs="TimesNewRoman"/>
        </w:rPr>
        <w:t xml:space="preserve">z dnia 6 września 2016 r. </w:t>
      </w:r>
      <w:r w:rsidRPr="00D349CB">
        <w:rPr>
          <w:rFonts w:cs="TimesNewRoman,Bold"/>
          <w:bCs/>
        </w:rPr>
        <w:t>w sprawie szczegółowych warunków i trybu przyznawania, wypłaty i zwrotu pomocy finansowej na realizację operacji</w:t>
      </w:r>
      <w:r w:rsidR="00D349CB">
        <w:rPr>
          <w:rFonts w:cs="TimesNewRoman"/>
        </w:rPr>
        <w:t xml:space="preserve"> </w:t>
      </w:r>
      <w:r w:rsidRPr="00D349CB">
        <w:rPr>
          <w:rFonts w:cs="TimesNewRoman,Bold"/>
          <w:bCs/>
        </w:rPr>
        <w:t>w ramach działań wsparcie przygotowawcze i realizacja lokalnych strategii rozwoju kierowanych przez społeczność,</w:t>
      </w:r>
      <w:r w:rsidR="00541751">
        <w:rPr>
          <w:rFonts w:cs="TimesNewRoman,Bold"/>
          <w:bCs/>
        </w:rPr>
        <w:t xml:space="preserve"> </w:t>
      </w:r>
      <w:r w:rsidRPr="00D349CB">
        <w:rPr>
          <w:rFonts w:cs="TimesNewRoman,Bold"/>
          <w:bCs/>
        </w:rPr>
        <w:t>w tym koszty bieżące i aktywizacja, objętych Priorytetem 4. Zwiększenie zatrudnienia i spójności terytorialnej,</w:t>
      </w:r>
      <w:r w:rsidR="00D349CB">
        <w:rPr>
          <w:rFonts w:cs="TimesNewRoman"/>
        </w:rPr>
        <w:t xml:space="preserve"> </w:t>
      </w:r>
      <w:r w:rsidRPr="00D349CB">
        <w:rPr>
          <w:rFonts w:cs="TimesNewRoman,Bold"/>
          <w:bCs/>
        </w:rPr>
        <w:t>zawartym w Programie Operacyjnym „Rybactwo i Morze”</w:t>
      </w:r>
      <w:r w:rsidR="00D349CB">
        <w:rPr>
          <w:rFonts w:cs="TimesNewRoman"/>
        </w:rPr>
        <w:t xml:space="preserve"> </w:t>
      </w:r>
      <w:r w:rsidR="009B2E52">
        <w:rPr>
          <w:rFonts w:cs="TimesNewRoman,Bold"/>
          <w:bCs/>
        </w:rPr>
        <w:t>§ 21, ust</w:t>
      </w:r>
      <w:r w:rsidR="009B2E52">
        <w:rPr>
          <w:rFonts w:cs="TimesNewRoman"/>
        </w:rPr>
        <w:t>.5 „</w:t>
      </w:r>
      <w:r w:rsidRPr="00D349CB">
        <w:rPr>
          <w:rFonts w:cs="TimesNewRoman"/>
        </w:rPr>
        <w:t xml:space="preserve"> Do trybu składania wniosków o dofinansowanie oraz szczegółowego sposobu ocen</w:t>
      </w:r>
      <w:r w:rsidR="00D349CB" w:rsidRPr="00D349CB">
        <w:rPr>
          <w:rFonts w:cs="TimesNewRoman"/>
        </w:rPr>
        <w:t xml:space="preserve">y i terminów rozpatrywania tych </w:t>
      </w:r>
      <w:r w:rsidRPr="00D349CB">
        <w:rPr>
          <w:rFonts w:cs="TimesNewRoman"/>
        </w:rPr>
        <w:t>wniosków przepisy art. 20 ust. 1, art. 21 ust. 1, 2 i 4–7, art. 22 i art. 23 ustawy o rozwoju lokalnym stosuje się odpowiednio.</w:t>
      </w:r>
      <w:r w:rsidR="009B2E52">
        <w:rPr>
          <w:rFonts w:cs="TimesNewRoman"/>
        </w:rPr>
        <w:t>”</w:t>
      </w:r>
      <w:r w:rsidR="00541751">
        <w:rPr>
          <w:rFonts w:cs="TimesNewRoman"/>
        </w:rPr>
        <w:t xml:space="preserve"> Zgodnie z zapisem art. 23</w:t>
      </w:r>
      <w:r w:rsidR="00541751" w:rsidRPr="00541751">
        <w:rPr>
          <w:rFonts w:cs="TimesNewRoman"/>
        </w:rPr>
        <w:t xml:space="preserve"> </w:t>
      </w:r>
      <w:r w:rsidR="00541751" w:rsidRPr="00D349CB">
        <w:rPr>
          <w:rFonts w:cs="TimesNewRoman"/>
        </w:rPr>
        <w:t>ustawy o rozwoj</w:t>
      </w:r>
      <w:r w:rsidR="00541751">
        <w:rPr>
          <w:rFonts w:cs="TimesNewRoman"/>
        </w:rPr>
        <w:t xml:space="preserve">u lokalnym ust.5 „W razie stwierdzenia, że wniosek o udzielenie wsparcia (…) zawiera braki lub oczywiste omyłki, zarząd </w:t>
      </w:r>
      <w:r w:rsidR="00317846">
        <w:rPr>
          <w:rFonts w:cs="TimesNewRoman"/>
        </w:rPr>
        <w:t>województwa wzywa</w:t>
      </w:r>
      <w:r w:rsidR="00541751">
        <w:rPr>
          <w:rFonts w:cs="TimesNewRoman"/>
        </w:rPr>
        <w:t xml:space="preserve"> podmiot ubiegający się o wsparcie do usunięcia tych braków lub oczywistych omyłek w terminie 7 dni, pod rygorem </w:t>
      </w:r>
      <w:r w:rsidR="00B236F5">
        <w:rPr>
          <w:rFonts w:cs="TimesNewRoman"/>
        </w:rPr>
        <w:t xml:space="preserve">pozostawienia </w:t>
      </w:r>
      <w:r w:rsidR="00541751">
        <w:rPr>
          <w:rFonts w:cs="TimesNewRoman"/>
        </w:rPr>
        <w:t>wniosku bez rozpatrzenia</w:t>
      </w:r>
      <w:r w:rsidR="00E76457">
        <w:rPr>
          <w:rFonts w:cs="TimesNewRoman"/>
        </w:rPr>
        <w:t>”</w:t>
      </w:r>
      <w:r w:rsidR="00541751">
        <w:rPr>
          <w:rFonts w:cs="TimesNewRoman"/>
        </w:rPr>
        <w:t>.</w:t>
      </w:r>
    </w:p>
    <w:p w:rsidR="00F8124C" w:rsidRDefault="00F8124C" w:rsidP="00D349CB">
      <w:pPr>
        <w:jc w:val="both"/>
      </w:pPr>
    </w:p>
    <w:p w:rsidR="002C1B8C" w:rsidRDefault="00F8124C" w:rsidP="00D349CB">
      <w:pPr>
        <w:jc w:val="both"/>
      </w:pPr>
      <w:r w:rsidRPr="00D349CB">
        <w:rPr>
          <w:b/>
        </w:rPr>
        <w:t>Ad</w:t>
      </w:r>
      <w:r w:rsidR="00A6188C">
        <w:rPr>
          <w:b/>
        </w:rPr>
        <w:t xml:space="preserve"> </w:t>
      </w:r>
      <w:r w:rsidRPr="00D349CB">
        <w:rPr>
          <w:b/>
        </w:rPr>
        <w:t>2.</w:t>
      </w:r>
      <w:r w:rsidR="00BA47D2">
        <w:t xml:space="preserve"> </w:t>
      </w:r>
      <w:r w:rsidR="002C1B8C">
        <w:t>Udowodnienie utrzymania miejsca pracy przez Beneficjenta będzie odbywało się na etapie związania z celem a więc już po podpisaniu umowy o przyznanie pomocy.</w:t>
      </w:r>
    </w:p>
    <w:p w:rsidR="004437CB" w:rsidRDefault="00BA47D2" w:rsidP="004437CB">
      <w:pPr>
        <w:jc w:val="both"/>
      </w:pPr>
      <w:r>
        <w:t xml:space="preserve">Zgodnie z zapisami Rozporządzenia Ministra Rolnictwa a dnia 24 września 2015r. w sprawie szczegółowych warunków i trybu przyznawania pomocy finansowej w ramach poddziałania „ Wsparcie na wdrażanie operacji w ramach strategii rozwoju lokalnego kierowanego przez społeczność” objętego Programem Rozwoju Obszarów Wiejskich na </w:t>
      </w:r>
      <w:proofErr w:type="gramStart"/>
      <w:r>
        <w:t>lata 201</w:t>
      </w:r>
      <w:r w:rsidR="00D0116B">
        <w:t xml:space="preserve">4 – 2020, </w:t>
      </w:r>
      <w:r w:rsidR="00FD4DBF" w:rsidRPr="00FD4DBF">
        <w:t xml:space="preserve">§ </w:t>
      </w:r>
      <w:r w:rsidR="00D0116B">
        <w:t xml:space="preserve"> 28 „Zabezpieczeniem</w:t>
      </w:r>
      <w:proofErr w:type="gramEnd"/>
      <w:r w:rsidR="00D0116B">
        <w:t xml:space="preserve"> należytego wykonania przez Beneficjenta zobowiązań określonych w umowie jest weksel niezupełny (in blanco) wraz z deklaracją wekslową sporządzoną na formularzu udostępnionym przez Zarząd Województwa.</w:t>
      </w:r>
      <w:r w:rsidR="00362AF1">
        <w:t xml:space="preserve"> </w:t>
      </w:r>
      <w:r w:rsidR="00D0116B">
        <w:t xml:space="preserve">(…) Weksel wraz z deklaracją wekslową składa się w urzędzie marszałkowskim (…) w dniu zawarcia umowy”.  Ponadto </w:t>
      </w:r>
      <w:r w:rsidR="004437CB">
        <w:t>z</w:t>
      </w:r>
      <w:r w:rsidR="00B527DC">
        <w:t xml:space="preserve">godnie </w:t>
      </w:r>
      <w:r w:rsidR="004437CB">
        <w:t xml:space="preserve">z § </w:t>
      </w:r>
      <w:r w:rsidR="00B527DC">
        <w:t xml:space="preserve">5 </w:t>
      </w:r>
      <w:r w:rsidR="004437CB">
        <w:t xml:space="preserve">ust. 8 </w:t>
      </w:r>
      <w:r w:rsidR="00B527DC">
        <w:t>w</w:t>
      </w:r>
      <w:r w:rsidR="004437CB">
        <w:t>/</w:t>
      </w:r>
      <w:r w:rsidR="00B527DC">
        <w:t>w umowy</w:t>
      </w:r>
      <w:r w:rsidR="004437CB">
        <w:t xml:space="preserve"> Beneficjent zobowiązany jest m.in. do</w:t>
      </w:r>
      <w:r w:rsidR="004437CB" w:rsidRPr="004437CB">
        <w:t xml:space="preserve"> utrzymania utworzonego(</w:t>
      </w:r>
      <w:proofErr w:type="spellStart"/>
      <w:r w:rsidR="004437CB" w:rsidRPr="004437CB">
        <w:t>ych</w:t>
      </w:r>
      <w:proofErr w:type="spellEnd"/>
      <w:r w:rsidR="004437CB" w:rsidRPr="004437CB">
        <w:t>) miejsc(a) pracy</w:t>
      </w:r>
      <w:r w:rsidR="004437CB">
        <w:t xml:space="preserve"> w trakcie realizacji operacji oraz przez okres 2 lat liczony od dnia wypłaty przez Agencję drugiej transzy pomocy. Natomiast zgodnie z zapisami § 11 ust. 1 w przypadku niespełnienia przez </w:t>
      </w:r>
      <w:r w:rsidR="00EC1770">
        <w:t>Beneficjenta</w:t>
      </w:r>
      <w:r w:rsidR="004437CB">
        <w:t xml:space="preserve"> zobowiązania dot. utrzymania utworzonych miejsc pracy przez okres, w którym Beneficjent był zobowiązany do ich utrzymania, przy czym w takim przypadku zwrotowi podlega 100% wypłaconej kwoty pomocy</w:t>
      </w:r>
      <w:r w:rsidR="00EC1770">
        <w:t>. Dodatkowo zgodnie z zapisami § 5 ust. 9 Beneficjent zobowiązany jest m.in. do</w:t>
      </w:r>
      <w:r w:rsidR="00EC1770" w:rsidRPr="00EC1770">
        <w:t xml:space="preserve"> umożliwienia przedstawicielom Zarządu Województwa, Agencji, Ministra Finansów, Ministra Rolnictwa i Rozwoju Wsi, Komisji Europejskiej, Europejskiego Trybunału Obrachunkowego, organów kontroli skarbowej oraz innym podmiotom upoważnionym do takich czynności, dokonywania audytów i kontroli dokumentów związanych z realizacją operacji i wykonaniem obowiązków po zakończeniu realizacji operacji lub audytów i kontroli w miejscu realizacji oper</w:t>
      </w:r>
      <w:r w:rsidR="00EC1770">
        <w:t>acji lub siedzibie Beneficjenta.</w:t>
      </w:r>
    </w:p>
    <w:p w:rsidR="00995274" w:rsidRDefault="004711B9" w:rsidP="00C50810">
      <w:pPr>
        <w:jc w:val="both"/>
      </w:pPr>
      <w:r w:rsidRPr="007A2751">
        <w:rPr>
          <w:b/>
        </w:rPr>
        <w:t>Ad</w:t>
      </w:r>
      <w:r w:rsidR="00A6188C">
        <w:rPr>
          <w:b/>
        </w:rPr>
        <w:t xml:space="preserve"> </w:t>
      </w:r>
      <w:r w:rsidRPr="007A2751">
        <w:rPr>
          <w:b/>
        </w:rPr>
        <w:t>3.</w:t>
      </w:r>
      <w:r w:rsidR="0060586C">
        <w:rPr>
          <w:b/>
        </w:rPr>
        <w:t xml:space="preserve"> </w:t>
      </w:r>
      <w:r w:rsidR="00C50810">
        <w:t>Zgodnie z przepisami rozporządzenia pomoc na operację:</w:t>
      </w:r>
    </w:p>
    <w:p w:rsidR="00C50810" w:rsidRDefault="00C50810" w:rsidP="00C50810">
      <w:pPr>
        <w:pStyle w:val="Akapitzlist"/>
        <w:numPr>
          <w:ilvl w:val="0"/>
          <w:numId w:val="11"/>
        </w:numPr>
        <w:jc w:val="both"/>
      </w:pPr>
      <w:r>
        <w:t xml:space="preserve">W zakresie innym niż podejmowanie działalności gospodarczej, jest przyznawana w formie refundacji kosztów kwalifikowalnych określonych w §17 </w:t>
      </w:r>
      <w:r w:rsidR="001C6CDA">
        <w:t>rozporządzenia</w:t>
      </w:r>
      <w:r>
        <w:t xml:space="preserve">, </w:t>
      </w:r>
      <w:proofErr w:type="gramStart"/>
      <w:r>
        <w:t>zgodnie z którym</w:t>
      </w:r>
      <w:proofErr w:type="gramEnd"/>
      <w:r>
        <w:t xml:space="preserve"> do kosztów kwalifikowalnych zalicza się także wartość wkładu </w:t>
      </w:r>
      <w:r w:rsidR="001C6CDA">
        <w:t>rzeczowego</w:t>
      </w:r>
      <w:r>
        <w:t xml:space="preserve"> (§ 17 ust. 2 i 3 rozporządzenia), o którym mowa w art. 69 ust. 1 rozporządzania Parlamentu Europejskiego i Rady (UE) nr 1303/2013 z dnia 17 grudnia 2013 r. ustanawiające wspólne przepisy dot. EFRR, EFS, FS, EFRROW ora EFMR oraz ustanawiające przepisy ogólne dotyczące EFRR, EFS, FS i EFMR oraz uchylające </w:t>
      </w:r>
      <w:r w:rsidR="001C6CDA">
        <w:t>rozporządzenie</w:t>
      </w:r>
      <w:r>
        <w:t xml:space="preserve"> Rady (UE) nr 1083/2006, zwanego dalej „</w:t>
      </w:r>
      <w:r w:rsidR="001C6CDA">
        <w:t>rozporządzeniem</w:t>
      </w:r>
      <w:r>
        <w:t xml:space="preserve"> 1303/2013”</w:t>
      </w:r>
    </w:p>
    <w:p w:rsidR="00C50810" w:rsidRDefault="00C50810" w:rsidP="00C50810">
      <w:pPr>
        <w:pStyle w:val="Akapitzlist"/>
        <w:numPr>
          <w:ilvl w:val="0"/>
          <w:numId w:val="11"/>
        </w:numPr>
        <w:jc w:val="both"/>
      </w:pPr>
      <w:r>
        <w:t>W zakresie podejmowanie działalności gospodarczej jest przyznawana, o ile m.in. (§</w:t>
      </w:r>
      <w:r w:rsidR="001C6CDA">
        <w:t>5 ust. 1 pkt 3 rozporządzenia) koszty planowane do poniesienia w ramach operacji mieszczą się w zakresie kosztów, o których mowa w § 17 ust. 1 rozporządzenia oraz nie są kosztami inwestycji polegającej na budowie albo przebudowie liniowych obiektów budowlanych w części dotyczącej realizacji odcinków zlokalizowanych poza obszarem wiejskim objętym LSR.</w:t>
      </w:r>
    </w:p>
    <w:p w:rsidR="00545B3E" w:rsidRDefault="00545B3E" w:rsidP="00545B3E">
      <w:pPr>
        <w:jc w:val="both"/>
      </w:pPr>
      <w:r>
        <w:t xml:space="preserve">Wobec tego dla operacji w zakresie podejmowania działalności gospodarczej – kosztem planowanym do poniesienia </w:t>
      </w:r>
      <w:r w:rsidRPr="00545B3E">
        <w:rPr>
          <w:b/>
        </w:rPr>
        <w:t>nie może być</w:t>
      </w:r>
      <w:r>
        <w:t xml:space="preserve"> wkład rzeczowy.</w:t>
      </w:r>
    </w:p>
    <w:p w:rsidR="00545B3E" w:rsidRDefault="00545B3E" w:rsidP="00545B3E">
      <w:pPr>
        <w:jc w:val="both"/>
      </w:pPr>
      <w:r>
        <w:t xml:space="preserve">Za wyjątkiem podejmowania działalności gospodarczej, wkład rzeczowy w formie robót budowlanych, towarów, usług, gruntów i nieruchomości, w </w:t>
      </w:r>
      <w:proofErr w:type="gramStart"/>
      <w:r>
        <w:t>przypadku których</w:t>
      </w:r>
      <w:proofErr w:type="gramEnd"/>
      <w:r>
        <w:t xml:space="preserve"> </w:t>
      </w:r>
      <w:r w:rsidRPr="00545B3E">
        <w:rPr>
          <w:b/>
        </w:rPr>
        <w:t>nie dokonano żadnych płatności</w:t>
      </w:r>
      <w:r>
        <w:t xml:space="preserve"> </w:t>
      </w:r>
      <w:r w:rsidRPr="00545B3E">
        <w:rPr>
          <w:b/>
        </w:rPr>
        <w:t>w gotówce</w:t>
      </w:r>
      <w:r>
        <w:t xml:space="preserve"> potwierdzonych fakturami lub dokumentami o równoważnej wartości dowodowej, mogą stanowić wydatki kwalifikowalne m.in. jeżeli (art. 69 ust. 1 rozporządzenia 1303/2013):</w:t>
      </w:r>
    </w:p>
    <w:p w:rsidR="00545B3E" w:rsidRDefault="00545B3E" w:rsidP="00545B3E">
      <w:pPr>
        <w:pStyle w:val="Akapitzlist"/>
        <w:numPr>
          <w:ilvl w:val="0"/>
          <w:numId w:val="12"/>
        </w:numPr>
        <w:jc w:val="both"/>
      </w:pPr>
      <w:proofErr w:type="gramStart"/>
      <w:r>
        <w:t>wydatki</w:t>
      </w:r>
      <w:proofErr w:type="gramEnd"/>
      <w:r>
        <w:t xml:space="preserve"> publiczne wypłacone na rzecz operacji obejmujące </w:t>
      </w:r>
      <w:r w:rsidRPr="00317846">
        <w:rPr>
          <w:b/>
        </w:rPr>
        <w:t>wkłady rzeczowe</w:t>
      </w:r>
      <w:r>
        <w:t xml:space="preserve"> </w:t>
      </w:r>
      <w:r w:rsidRPr="00317846">
        <w:rPr>
          <w:b/>
        </w:rPr>
        <w:t>nie</w:t>
      </w:r>
      <w:r w:rsidR="00317846">
        <w:rPr>
          <w:b/>
        </w:rPr>
        <w:t xml:space="preserve"> </w:t>
      </w:r>
      <w:r w:rsidRPr="00317846">
        <w:rPr>
          <w:b/>
        </w:rPr>
        <w:t>przekraczają łącznych wydatków kwalifikowalnych, z wyłączeniem wkładów rzeczowych, na zakończenie operacji</w:t>
      </w:r>
      <w:r>
        <w:t>,</w:t>
      </w:r>
    </w:p>
    <w:p w:rsidR="00545B3E" w:rsidRDefault="00545B3E" w:rsidP="00545B3E">
      <w:pPr>
        <w:pStyle w:val="Akapitzlist"/>
        <w:numPr>
          <w:ilvl w:val="0"/>
          <w:numId w:val="12"/>
        </w:numPr>
        <w:jc w:val="both"/>
      </w:pPr>
      <w:proofErr w:type="gramStart"/>
      <w:r>
        <w:t>wartość</w:t>
      </w:r>
      <w:proofErr w:type="gramEnd"/>
      <w:r>
        <w:t xml:space="preserve"> przypisana wkładom rzeczowym nie przekracza kosztów ogólnie przyjętych na danym rynku;</w:t>
      </w:r>
    </w:p>
    <w:p w:rsidR="00545B3E" w:rsidRDefault="00317846" w:rsidP="00545B3E">
      <w:pPr>
        <w:pStyle w:val="Akapitzlist"/>
        <w:numPr>
          <w:ilvl w:val="0"/>
          <w:numId w:val="12"/>
        </w:numPr>
        <w:jc w:val="both"/>
      </w:pPr>
      <w:proofErr w:type="gramStart"/>
      <w:r>
        <w:t>w</w:t>
      </w:r>
      <w:r w:rsidR="00545B3E">
        <w:t>artość</w:t>
      </w:r>
      <w:proofErr w:type="gramEnd"/>
      <w:r w:rsidR="00545B3E">
        <w:t xml:space="preserve"> </w:t>
      </w:r>
      <w:r>
        <w:t>i</w:t>
      </w:r>
      <w:r w:rsidR="00545B3E">
        <w:t xml:space="preserve"> dostarczenie wkładów rzeczowych mogą być poddane niezależnej ocenie i weryfikacji;</w:t>
      </w:r>
    </w:p>
    <w:p w:rsidR="00545B3E" w:rsidRDefault="00317846" w:rsidP="00545B3E">
      <w:pPr>
        <w:pStyle w:val="Akapitzlist"/>
        <w:numPr>
          <w:ilvl w:val="0"/>
          <w:numId w:val="12"/>
        </w:numPr>
        <w:jc w:val="both"/>
      </w:pPr>
      <w:proofErr w:type="gramStart"/>
      <w:r>
        <w:t>w</w:t>
      </w:r>
      <w:proofErr w:type="gramEnd"/>
      <w:r w:rsidR="00545B3E">
        <w:t xml:space="preserve"> przypadku udostepnienia gruntu lub nieruchomości można dokonać płatności w gotówce do celów umowy leasingu o nominalnej rocznej wartości nieprzekraczającej jednej jednostki waluty państwa członkowskiego;</w:t>
      </w:r>
    </w:p>
    <w:p w:rsidR="00545B3E" w:rsidRDefault="00317846" w:rsidP="00545B3E">
      <w:pPr>
        <w:pStyle w:val="Akapitzlist"/>
        <w:numPr>
          <w:ilvl w:val="0"/>
          <w:numId w:val="12"/>
        </w:numPr>
        <w:jc w:val="both"/>
      </w:pPr>
      <w:proofErr w:type="gramStart"/>
      <w:r>
        <w:t>w</w:t>
      </w:r>
      <w:proofErr w:type="gramEnd"/>
      <w:r w:rsidR="00545B3E">
        <w:t xml:space="preserve"> przypadku wkładów rzeczowych w formie nieodpłatnej pracy wartość takiej pracy jest określona z uwzględnieniem zweryfikowanego czasu poświęconego na pracę i wysokości wynagrodzenia za pracę równoważną.</w:t>
      </w:r>
    </w:p>
    <w:p w:rsidR="00317846" w:rsidRDefault="00545B3E" w:rsidP="00317846">
      <w:pPr>
        <w:ind w:left="360"/>
        <w:jc w:val="both"/>
      </w:pPr>
      <w:r>
        <w:t>Jednocześnie należy pamiętać, że planowane do poniesienia koszty powinny być uzasadnione, m.in. ze względu na zakres planowanej do realizacji operacji oraz racjonalne. Ocena, czy w ramach operacji wkład rzeczowy będzie mógł być kosztem kwalifikowalnym, jest oceną indywidulaną, podejmowaną na podstawie dokumentacji zgromadzonej w sprawie.</w:t>
      </w:r>
    </w:p>
    <w:p w:rsidR="0092060C" w:rsidRDefault="00317846" w:rsidP="0092060C">
      <w:pPr>
        <w:ind w:left="360"/>
        <w:jc w:val="both"/>
      </w:pPr>
      <w:r>
        <w:t>D</w:t>
      </w:r>
      <w:r w:rsidR="00A6188C">
        <w:t>odatkowo art. 69 ust. 3b) rozporządzenia 1303/2013 wprowadza ograniczenie dla udostępniania gruntu lub nieruchomości, tj. do wysokości 10% łącznych wydatków kwalifikowalnych dla danej operacji.</w:t>
      </w:r>
    </w:p>
    <w:p w:rsidR="0092060C" w:rsidRPr="00995274" w:rsidRDefault="0092060C" w:rsidP="00317846">
      <w:pPr>
        <w:ind w:left="360"/>
        <w:jc w:val="both"/>
      </w:pPr>
      <w:r>
        <w:t xml:space="preserve">Zastosowane przez Państwa sposoby wyliczeń nie są zrozumiałe dla Samorządu Województwa. Jednakże przy założonych przez Państwa wysokościach kosztów oraz uznania za kwalifikowane towarów będących wkładem własnym , co jest wątpliwe dla Samorządu </w:t>
      </w:r>
      <w:proofErr w:type="gramStart"/>
      <w:r>
        <w:t>Województwa,  przy</w:t>
      </w:r>
      <w:proofErr w:type="gramEnd"/>
      <w:r>
        <w:t xml:space="preserve"> założeniu że intensywność pomocy wynosi 70% obliczona wartość kwalifikowalna działki i wysokość dofinansowania jest prawidłowa, gdyż wartość działki nie przekracza 10% wszystkich kosztów kwalifikowalnych a wartość dofinansowania operacji nie przekracza wydatków finansowych operacji poniesionych przez Wnioskodawcę.</w:t>
      </w:r>
    </w:p>
    <w:p w:rsidR="00A6188C" w:rsidRDefault="00845E14" w:rsidP="00A6188C">
      <w:pPr>
        <w:jc w:val="both"/>
      </w:pPr>
      <w:r w:rsidRPr="008057B4">
        <w:rPr>
          <w:b/>
        </w:rPr>
        <w:t>Ad</w:t>
      </w:r>
      <w:r w:rsidR="00A6188C">
        <w:rPr>
          <w:b/>
        </w:rPr>
        <w:t xml:space="preserve"> </w:t>
      </w:r>
      <w:r w:rsidR="004711B9" w:rsidRPr="008057B4">
        <w:rPr>
          <w:b/>
        </w:rPr>
        <w:t>4</w:t>
      </w:r>
      <w:r w:rsidR="008D16C0" w:rsidRPr="008057B4">
        <w:rPr>
          <w:b/>
        </w:rPr>
        <w:t>.</w:t>
      </w:r>
      <w:r w:rsidR="008057B4" w:rsidRPr="008057B4">
        <w:t xml:space="preserve"> </w:t>
      </w:r>
      <w:r w:rsidR="008057B4" w:rsidRPr="00016768">
        <w:t xml:space="preserve">Zgodnie z zapisami </w:t>
      </w:r>
      <w:r w:rsidR="00A6188C">
        <w:t xml:space="preserve">§5 ust 1 pkt 1 </w:t>
      </w:r>
      <w:r w:rsidR="008057B4" w:rsidRPr="00016768">
        <w:t>Rozporządzenia</w:t>
      </w:r>
      <w:r w:rsidR="008057B4">
        <w:t xml:space="preserve"> </w:t>
      </w:r>
      <w:r w:rsidR="00A6188C" w:rsidRPr="00A6188C">
        <w:t>Ministra Rolnictwa z dnia 24 września 2015r. w sprawie szczegółowych warunków i trybu przyznawania pomocy finansowej w ramach poddziałania „ Wsparcie na wdrażanie operacji w ramach strategii rozwoju lokalnego kierowanego przez społeczność” objętego Programem Rozwoju Obszarów Wiejskich na lata 2014 – 2020</w:t>
      </w:r>
      <w:r w:rsidR="00A6188C">
        <w:t xml:space="preserve"> Pomoc na operację w zakresie określonym w § 2 ust. 1 pkt 2 lit. a jest przyznawana, jeżeli podmiot ubiegający się o jej przyznanie:</w:t>
      </w:r>
    </w:p>
    <w:p w:rsidR="00A6188C" w:rsidRDefault="00A6188C" w:rsidP="00A6188C">
      <w:pPr>
        <w:pStyle w:val="Akapitzlist"/>
        <w:numPr>
          <w:ilvl w:val="0"/>
          <w:numId w:val="10"/>
        </w:numPr>
        <w:jc w:val="both"/>
      </w:pPr>
      <w:r>
        <w:t xml:space="preserve">nie podlega ubezpieczeniu społecznemu rolników z mocy ustawy i w pełnym zakresie, chyba że podejmuje działalność gospodarczą sklasyfikowaną w przepisach rozporządzenia Rady Ministrów z </w:t>
      </w:r>
      <w:proofErr w:type="gramStart"/>
      <w:r>
        <w:t>dnia  24 grudnia</w:t>
      </w:r>
      <w:proofErr w:type="gramEnd"/>
      <w:r>
        <w:t xml:space="preserve">  2007 r.  w sprawie Polskiej Klasyfikacji Działalności (PKD) (Dz. U. Nr 251, poz. 1885 oraz z 2009 r. Nr 59, </w:t>
      </w:r>
      <w:proofErr w:type="gramStart"/>
      <w:r>
        <w:t>poz. 489) jako</w:t>
      </w:r>
      <w:proofErr w:type="gramEnd"/>
      <w:r>
        <w:t xml:space="preserve"> produkcja artykułów spożywczych lub produkcja napojów,</w:t>
      </w:r>
    </w:p>
    <w:p w:rsidR="00A6188C" w:rsidRPr="00C50810" w:rsidRDefault="00A6188C" w:rsidP="00A6188C">
      <w:pPr>
        <w:pStyle w:val="Akapitzlist"/>
        <w:numPr>
          <w:ilvl w:val="0"/>
          <w:numId w:val="10"/>
        </w:numPr>
        <w:jc w:val="both"/>
      </w:pPr>
      <w:r>
        <w:t xml:space="preserve">w okresie 2 lat poprzedzających dzień złożenia wniosku o przyznanie tej pomocy nie wykonywał działalności gospodarczej, do której stosuje się przepisy ustawy z dnia 2 lipca 2004 r. o swobodzie działalności gospodarczej, w </w:t>
      </w:r>
      <w:proofErr w:type="gramStart"/>
      <w:r>
        <w:t>szczególności  nie</w:t>
      </w:r>
      <w:proofErr w:type="gramEnd"/>
      <w:r>
        <w:t xml:space="preserve">  był  wpisany  do  </w:t>
      </w:r>
      <w:r w:rsidRPr="00C50810">
        <w:t>Centralnej  Ewidencji  i Informacji  o Działalności  Gospodarczej  albo  w rejestrze przedsiębiorców w Krajowym Rejestrze Sądowym</w:t>
      </w:r>
    </w:p>
    <w:p w:rsidR="008057B4" w:rsidRPr="00C50810" w:rsidRDefault="00A6188C" w:rsidP="00A6188C">
      <w:pPr>
        <w:jc w:val="both"/>
        <w:rPr>
          <w:strike/>
          <w:highlight w:val="yellow"/>
        </w:rPr>
      </w:pPr>
      <w:r w:rsidRPr="00C50810">
        <w:t>– i nie została mu dotychczas przyznana pomoc na operację w tym zakresie.</w:t>
      </w:r>
    </w:p>
    <w:p w:rsidR="004711B9" w:rsidRDefault="00A6188C" w:rsidP="0092060C">
      <w:pPr>
        <w:jc w:val="both"/>
      </w:pPr>
      <w:r w:rsidRPr="00C50810">
        <w:t>W związku z powyższym</w:t>
      </w:r>
      <w:r w:rsidR="00C50810" w:rsidRPr="00C50810">
        <w:t xml:space="preserve">, jeżeli Wnioskodawca nie prowadzi działalności gospodarczej i nie jest wpisany do CEIDG oraz spełnia inne warunki określone w Rozporządzeniu, może ubiegać się o pomoc w </w:t>
      </w:r>
      <w:proofErr w:type="spellStart"/>
      <w:r w:rsidR="00C50810" w:rsidRPr="00C50810">
        <w:t>w</w:t>
      </w:r>
      <w:proofErr w:type="spellEnd"/>
      <w:r w:rsidR="00C50810" w:rsidRPr="00C50810">
        <w:t xml:space="preserve"> zakresie określonym w § 2 ust. 1 pkt 2 lit. a Rozporządzenia.</w:t>
      </w:r>
    </w:p>
    <w:p w:rsidR="004711B9" w:rsidRDefault="004711B9" w:rsidP="00BA47D2">
      <w:pPr>
        <w:pStyle w:val="Akapitzlist"/>
        <w:jc w:val="both"/>
      </w:pPr>
    </w:p>
    <w:p w:rsidR="004711B9" w:rsidRDefault="004711B9" w:rsidP="007A2751">
      <w:pPr>
        <w:jc w:val="both"/>
      </w:pPr>
      <w:r w:rsidRPr="007A2751">
        <w:rPr>
          <w:b/>
        </w:rPr>
        <w:t>Ad</w:t>
      </w:r>
      <w:r w:rsidR="00EC1770">
        <w:rPr>
          <w:b/>
        </w:rPr>
        <w:t xml:space="preserve"> </w:t>
      </w:r>
      <w:r w:rsidRPr="007A2751">
        <w:rPr>
          <w:b/>
        </w:rPr>
        <w:t>5</w:t>
      </w:r>
      <w:r w:rsidRPr="005837BA">
        <w:t>.</w:t>
      </w:r>
      <w:r w:rsidR="005837BA" w:rsidRPr="005837BA">
        <w:t xml:space="preserve"> Katalog kosztów kwalifikowalnych ujęty został w </w:t>
      </w:r>
      <w:r w:rsidR="00FD4DBF" w:rsidRPr="00FD4DBF">
        <w:t xml:space="preserve">§ </w:t>
      </w:r>
      <w:r w:rsidR="005837BA" w:rsidRPr="005837BA">
        <w:t>17</w:t>
      </w:r>
      <w:r w:rsidR="005837BA">
        <w:rPr>
          <w:b/>
        </w:rPr>
        <w:t xml:space="preserve"> </w:t>
      </w:r>
      <w:r w:rsidR="005837BA">
        <w:t xml:space="preserve">Rozporządzenia Ministra Rolnictwa </w:t>
      </w:r>
      <w:r w:rsidR="00285FD6">
        <w:t>z</w:t>
      </w:r>
      <w:r w:rsidR="005837BA">
        <w:t xml:space="preserve"> dnia 24 września 2015r. w sprawie szczegółowych warunków i trybu przyznawania pomocy finansowej w ramach poddziałania „ Wsparcie na wdrażanie operacji w ramach strategii rozwoju lokalnego kierowanego przez społeczność” objętego Programem Rozwoju Obszarów Wiejskich na lata 2014 –</w:t>
      </w:r>
      <w:r w:rsidR="00EC1770">
        <w:t xml:space="preserve"> 2020, które </w:t>
      </w:r>
      <w:r w:rsidR="00EC1770" w:rsidRPr="009100AB">
        <w:rPr>
          <w:b/>
        </w:rPr>
        <w:t>nie obejmują kosztów bieżących</w:t>
      </w:r>
      <w:r w:rsidR="00EC1770">
        <w:t>. Stosowanie do art. 61 rozporządzenia 1305/2013 kosztami bieżącymi są: koszty operacyjne; koszty personelu; koszty szkolenia; koszty związane z kształtowanie wizerunku; koszty finansowe lub koszty związane z tworzeniem sieci kontaktów.</w:t>
      </w:r>
      <w:r w:rsidR="005837BA">
        <w:t xml:space="preserve"> </w:t>
      </w:r>
      <w:r w:rsidR="00EC1770">
        <w:t xml:space="preserve"> Wyjątkiem jest podnoszenie kompetencji osób realizujących operacje (§ 2 ust. 1 pkt 2 rozporządzenia) oraz wynagrodzenia i inne świadczenia, o których mowa w Kodeksie pracy, związane z pracą pracowników beneficjenta, a także inne koszty ponoszone przez beneficjenta na podstawie odrębnych przepisów w związki z zatrudnieniem tych pracowników – w przypadku operacji w zakresie określonym w </w:t>
      </w:r>
      <w:r w:rsidR="00EC1770" w:rsidRPr="00EC1770">
        <w:t>§ 2</w:t>
      </w:r>
      <w:r w:rsidR="00EC1770">
        <w:t xml:space="preserve"> ust. 1 pkt 2 lit. b i pkt 3 rozporządzenia.</w:t>
      </w:r>
    </w:p>
    <w:p w:rsidR="00DE5488" w:rsidRPr="007A2751" w:rsidRDefault="00DE5488" w:rsidP="007A2751">
      <w:pPr>
        <w:jc w:val="both"/>
        <w:rPr>
          <w:b/>
        </w:rPr>
      </w:pPr>
      <w:r>
        <w:t>Koszty promocji usług stanowią bieżące koszy operacyjne związane z prowadzeniem działalności gospodarczej, dlatego nie mogą być kosztem kwalifikowalnym.</w:t>
      </w:r>
    </w:p>
    <w:p w:rsidR="004711B9" w:rsidRDefault="004711B9" w:rsidP="0092060C">
      <w:pPr>
        <w:jc w:val="both"/>
      </w:pPr>
    </w:p>
    <w:p w:rsidR="00DE5488" w:rsidRDefault="004711B9" w:rsidP="00DE5488">
      <w:pPr>
        <w:jc w:val="both"/>
      </w:pPr>
      <w:r w:rsidRPr="004872B6">
        <w:rPr>
          <w:b/>
        </w:rPr>
        <w:t>Ad</w:t>
      </w:r>
      <w:r w:rsidR="009100AB">
        <w:rPr>
          <w:b/>
        </w:rPr>
        <w:t xml:space="preserve"> </w:t>
      </w:r>
      <w:r w:rsidRPr="004872B6">
        <w:rPr>
          <w:b/>
        </w:rPr>
        <w:t>6.</w:t>
      </w:r>
      <w:r w:rsidR="00A1306D" w:rsidRPr="004872B6">
        <w:t xml:space="preserve"> </w:t>
      </w:r>
      <w:r w:rsidR="00DE5488">
        <w:t xml:space="preserve">Zgodnie z zapisami § 13 umowy o przyznanie pomocy </w:t>
      </w:r>
      <w:r w:rsidR="009100AB">
        <w:t>n</w:t>
      </w:r>
      <w:r w:rsidR="00DE5488">
        <w:t>a warunkach określonych w ustawie i rozporządzeniu, Zarząd Województwa może w trakcie realizacji operacji, o której mowa w § 3 ust. 1</w:t>
      </w:r>
      <w:r w:rsidR="009100AB">
        <w:t xml:space="preserve"> umowy</w:t>
      </w:r>
      <w:r w:rsidR="00DE5488">
        <w:t>, przyznać pomoc następcy prawnemu Beneficjenta albo nabywcy przedsiębiorstwa Beneficjenta albo jego części.</w:t>
      </w:r>
      <w:r w:rsidR="009100AB">
        <w:t xml:space="preserve"> </w:t>
      </w:r>
      <w:r w:rsidR="00DE5488">
        <w:t xml:space="preserve"> W przypadku zaistnienia uzasadnionych okoliczności, po przyznaniu pomocy, Beneficjent może wystąpić do Zarządu Województwa o wyrażenie zgody na przeniesienie własności lub posiadania przedsiębiorstwa lub jego części albo połączenie lub jego podział, jeżeli przeniesienie nastąpi na rzecz podmiotu, który spełnia warunki przyznania i wypłaty pomocy i przejmie zobowiązania dotychczasowego Beneficjenta.</w:t>
      </w:r>
      <w:r w:rsidR="009100AB">
        <w:t xml:space="preserve"> </w:t>
      </w:r>
      <w:r w:rsidR="00DE5488">
        <w:t>Zarząd Województwa może wyrazić zgodę na zbycie przedsiębiorstwa lub jego części lub połączenie lub podział, jeżeli:</w:t>
      </w:r>
    </w:p>
    <w:p w:rsidR="00DE5488" w:rsidRDefault="00DE5488" w:rsidP="00DE5488">
      <w:pPr>
        <w:jc w:val="both"/>
      </w:pPr>
      <w:r>
        <w:t>1) nabywca spełnia warunki przyznania i wypłaty pomocy oraz zobowiąże się do przejęcia obowiązków związanych z przyznaną i wypłaconą pomocą,</w:t>
      </w:r>
    </w:p>
    <w:p w:rsidR="00DE5488" w:rsidRDefault="00DE5488" w:rsidP="00DE5488">
      <w:pPr>
        <w:jc w:val="both"/>
      </w:pPr>
      <w:r>
        <w:t xml:space="preserve">2) w wyniku przeniesienia </w:t>
      </w:r>
      <w:proofErr w:type="gramStart"/>
      <w:r>
        <w:t>praw</w:t>
      </w:r>
      <w:proofErr w:type="gramEnd"/>
      <w:r>
        <w:t xml:space="preserve"> własności nie zostaną naruszone cel i przeznaczenie operacji,</w:t>
      </w:r>
    </w:p>
    <w:p w:rsidR="004872B6" w:rsidRPr="004872B6" w:rsidRDefault="00DE5488" w:rsidP="00DE5488">
      <w:pPr>
        <w:jc w:val="both"/>
      </w:pPr>
      <w:r>
        <w:t>3) zmiana ta nie sprzeciwia się zasadom określonym w Programie, przepisom rozporządzenia nr 1305/2013, ustawy, rozporządzenia i postanowieniom umowy</w:t>
      </w:r>
      <w:r w:rsidR="009100AB">
        <w:t>.</w:t>
      </w:r>
    </w:p>
    <w:p w:rsidR="004711B9" w:rsidRPr="00A1306D" w:rsidRDefault="004711B9" w:rsidP="00A1306D">
      <w:pPr>
        <w:jc w:val="both"/>
        <w:rPr>
          <w:b/>
        </w:rPr>
      </w:pPr>
    </w:p>
    <w:sectPr w:rsidR="004711B9" w:rsidRPr="00A1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E6"/>
    <w:multiLevelType w:val="hybridMultilevel"/>
    <w:tmpl w:val="24424F3A"/>
    <w:lvl w:ilvl="0" w:tplc="FAC05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76B4D"/>
    <w:multiLevelType w:val="hybridMultilevel"/>
    <w:tmpl w:val="D1BCA59E"/>
    <w:lvl w:ilvl="0" w:tplc="5250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3E5"/>
    <w:multiLevelType w:val="hybridMultilevel"/>
    <w:tmpl w:val="EA8CA5A0"/>
    <w:lvl w:ilvl="0" w:tplc="85A2149E">
      <w:start w:val="2"/>
      <w:numFmt w:val="decimal"/>
      <w:lvlText w:val="%1."/>
      <w:lvlJc w:val="left"/>
      <w:pPr>
        <w:ind w:left="139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69E2790">
      <w:numFmt w:val="bullet"/>
      <w:lvlText w:val="•"/>
      <w:lvlJc w:val="left"/>
      <w:pPr>
        <w:ind w:left="1142" w:hanging="212"/>
      </w:pPr>
      <w:rPr>
        <w:rFonts w:hint="default"/>
      </w:rPr>
    </w:lvl>
    <w:lvl w:ilvl="2" w:tplc="150CC01A">
      <w:numFmt w:val="bullet"/>
      <w:lvlText w:val="•"/>
      <w:lvlJc w:val="left"/>
      <w:pPr>
        <w:ind w:left="2144" w:hanging="212"/>
      </w:pPr>
      <w:rPr>
        <w:rFonts w:hint="default"/>
      </w:rPr>
    </w:lvl>
    <w:lvl w:ilvl="3" w:tplc="47FCDBA2">
      <w:numFmt w:val="bullet"/>
      <w:lvlText w:val="•"/>
      <w:lvlJc w:val="left"/>
      <w:pPr>
        <w:ind w:left="3146" w:hanging="212"/>
      </w:pPr>
      <w:rPr>
        <w:rFonts w:hint="default"/>
      </w:rPr>
    </w:lvl>
    <w:lvl w:ilvl="4" w:tplc="5B069160">
      <w:numFmt w:val="bullet"/>
      <w:lvlText w:val="•"/>
      <w:lvlJc w:val="left"/>
      <w:pPr>
        <w:ind w:left="4148" w:hanging="212"/>
      </w:pPr>
      <w:rPr>
        <w:rFonts w:hint="default"/>
      </w:rPr>
    </w:lvl>
    <w:lvl w:ilvl="5" w:tplc="940E8A10">
      <w:numFmt w:val="bullet"/>
      <w:lvlText w:val="•"/>
      <w:lvlJc w:val="left"/>
      <w:pPr>
        <w:ind w:left="5150" w:hanging="212"/>
      </w:pPr>
      <w:rPr>
        <w:rFonts w:hint="default"/>
      </w:rPr>
    </w:lvl>
    <w:lvl w:ilvl="6" w:tplc="080E8016">
      <w:numFmt w:val="bullet"/>
      <w:lvlText w:val="•"/>
      <w:lvlJc w:val="left"/>
      <w:pPr>
        <w:ind w:left="6152" w:hanging="212"/>
      </w:pPr>
      <w:rPr>
        <w:rFonts w:hint="default"/>
      </w:rPr>
    </w:lvl>
    <w:lvl w:ilvl="7" w:tplc="3424B6C6">
      <w:numFmt w:val="bullet"/>
      <w:lvlText w:val="•"/>
      <w:lvlJc w:val="left"/>
      <w:pPr>
        <w:ind w:left="7154" w:hanging="212"/>
      </w:pPr>
      <w:rPr>
        <w:rFonts w:hint="default"/>
      </w:rPr>
    </w:lvl>
    <w:lvl w:ilvl="8" w:tplc="3A6EE02C">
      <w:numFmt w:val="bullet"/>
      <w:lvlText w:val="•"/>
      <w:lvlJc w:val="left"/>
      <w:pPr>
        <w:ind w:left="8156" w:hanging="212"/>
      </w:pPr>
      <w:rPr>
        <w:rFonts w:hint="default"/>
      </w:rPr>
    </w:lvl>
  </w:abstractNum>
  <w:abstractNum w:abstractNumId="3">
    <w:nsid w:val="1FA77232"/>
    <w:multiLevelType w:val="hybridMultilevel"/>
    <w:tmpl w:val="69F0AD9E"/>
    <w:lvl w:ilvl="0" w:tplc="FAC05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20AD1"/>
    <w:multiLevelType w:val="hybridMultilevel"/>
    <w:tmpl w:val="317E0F40"/>
    <w:lvl w:ilvl="0" w:tplc="FAC05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3694F"/>
    <w:multiLevelType w:val="hybridMultilevel"/>
    <w:tmpl w:val="0DDC1C44"/>
    <w:lvl w:ilvl="0" w:tplc="F662A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797B"/>
    <w:multiLevelType w:val="hybridMultilevel"/>
    <w:tmpl w:val="4E14C4C4"/>
    <w:lvl w:ilvl="0" w:tplc="1630B1EC">
      <w:start w:val="1"/>
      <w:numFmt w:val="decimal"/>
      <w:lvlText w:val="%1)"/>
      <w:lvlJc w:val="left"/>
      <w:pPr>
        <w:ind w:left="56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D86D062">
      <w:numFmt w:val="bullet"/>
      <w:lvlText w:val="•"/>
      <w:lvlJc w:val="left"/>
      <w:pPr>
        <w:ind w:left="1520" w:hanging="421"/>
      </w:pPr>
      <w:rPr>
        <w:rFonts w:hint="default"/>
      </w:rPr>
    </w:lvl>
    <w:lvl w:ilvl="2" w:tplc="F18C3A36">
      <w:numFmt w:val="bullet"/>
      <w:lvlText w:val="•"/>
      <w:lvlJc w:val="left"/>
      <w:pPr>
        <w:ind w:left="2480" w:hanging="421"/>
      </w:pPr>
      <w:rPr>
        <w:rFonts w:hint="default"/>
      </w:rPr>
    </w:lvl>
    <w:lvl w:ilvl="3" w:tplc="83640930">
      <w:numFmt w:val="bullet"/>
      <w:lvlText w:val="•"/>
      <w:lvlJc w:val="left"/>
      <w:pPr>
        <w:ind w:left="3440" w:hanging="421"/>
      </w:pPr>
      <w:rPr>
        <w:rFonts w:hint="default"/>
      </w:rPr>
    </w:lvl>
    <w:lvl w:ilvl="4" w:tplc="FBDA784E">
      <w:numFmt w:val="bullet"/>
      <w:lvlText w:val="•"/>
      <w:lvlJc w:val="left"/>
      <w:pPr>
        <w:ind w:left="4400" w:hanging="421"/>
      </w:pPr>
      <w:rPr>
        <w:rFonts w:hint="default"/>
      </w:rPr>
    </w:lvl>
    <w:lvl w:ilvl="5" w:tplc="EF1A3D70">
      <w:numFmt w:val="bullet"/>
      <w:lvlText w:val="•"/>
      <w:lvlJc w:val="left"/>
      <w:pPr>
        <w:ind w:left="5360" w:hanging="421"/>
      </w:pPr>
      <w:rPr>
        <w:rFonts w:hint="default"/>
      </w:rPr>
    </w:lvl>
    <w:lvl w:ilvl="6" w:tplc="3BB6201E">
      <w:numFmt w:val="bullet"/>
      <w:lvlText w:val="•"/>
      <w:lvlJc w:val="left"/>
      <w:pPr>
        <w:ind w:left="6320" w:hanging="421"/>
      </w:pPr>
      <w:rPr>
        <w:rFonts w:hint="default"/>
      </w:rPr>
    </w:lvl>
    <w:lvl w:ilvl="7" w:tplc="85B27AF6">
      <w:numFmt w:val="bullet"/>
      <w:lvlText w:val="•"/>
      <w:lvlJc w:val="left"/>
      <w:pPr>
        <w:ind w:left="7280" w:hanging="421"/>
      </w:pPr>
      <w:rPr>
        <w:rFonts w:hint="default"/>
      </w:rPr>
    </w:lvl>
    <w:lvl w:ilvl="8" w:tplc="BC56DB5A">
      <w:numFmt w:val="bullet"/>
      <w:lvlText w:val="•"/>
      <w:lvlJc w:val="left"/>
      <w:pPr>
        <w:ind w:left="8240" w:hanging="421"/>
      </w:pPr>
      <w:rPr>
        <w:rFonts w:hint="default"/>
      </w:rPr>
    </w:lvl>
  </w:abstractNum>
  <w:abstractNum w:abstractNumId="7">
    <w:nsid w:val="588B1F96"/>
    <w:multiLevelType w:val="hybridMultilevel"/>
    <w:tmpl w:val="E50A7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D07E0"/>
    <w:multiLevelType w:val="hybridMultilevel"/>
    <w:tmpl w:val="52980088"/>
    <w:lvl w:ilvl="0" w:tplc="66426822">
      <w:start w:val="1"/>
      <w:numFmt w:val="decimal"/>
      <w:lvlText w:val="%1)"/>
      <w:lvlJc w:val="left"/>
      <w:pPr>
        <w:ind w:left="56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50097EA">
      <w:start w:val="1"/>
      <w:numFmt w:val="lowerLetter"/>
      <w:lvlText w:val="%2)"/>
      <w:lvlJc w:val="left"/>
      <w:pPr>
        <w:ind w:left="919" w:hanging="361"/>
      </w:pPr>
      <w:rPr>
        <w:rFonts w:ascii="Times New Roman" w:eastAsia="Times New Roman" w:hAnsi="Times New Roman" w:cs="Times New Roman" w:hint="default"/>
        <w:strike w:val="0"/>
        <w:w w:val="99"/>
        <w:sz w:val="20"/>
        <w:szCs w:val="20"/>
      </w:rPr>
    </w:lvl>
    <w:lvl w:ilvl="2" w:tplc="53AC48FC">
      <w:numFmt w:val="bullet"/>
      <w:lvlText w:val="•"/>
      <w:lvlJc w:val="left"/>
      <w:pPr>
        <w:ind w:left="1946" w:hanging="361"/>
      </w:pPr>
      <w:rPr>
        <w:rFonts w:hint="default"/>
      </w:rPr>
    </w:lvl>
    <w:lvl w:ilvl="3" w:tplc="454245B6">
      <w:numFmt w:val="bullet"/>
      <w:lvlText w:val="•"/>
      <w:lvlJc w:val="left"/>
      <w:pPr>
        <w:ind w:left="2973" w:hanging="361"/>
      </w:pPr>
      <w:rPr>
        <w:rFonts w:hint="default"/>
      </w:rPr>
    </w:lvl>
    <w:lvl w:ilvl="4" w:tplc="D4545494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05667952">
      <w:numFmt w:val="bullet"/>
      <w:lvlText w:val="•"/>
      <w:lvlJc w:val="left"/>
      <w:pPr>
        <w:ind w:left="5026" w:hanging="361"/>
      </w:pPr>
      <w:rPr>
        <w:rFonts w:hint="default"/>
      </w:rPr>
    </w:lvl>
    <w:lvl w:ilvl="6" w:tplc="BBD093A4">
      <w:numFmt w:val="bullet"/>
      <w:lvlText w:val="•"/>
      <w:lvlJc w:val="left"/>
      <w:pPr>
        <w:ind w:left="6053" w:hanging="361"/>
      </w:pPr>
      <w:rPr>
        <w:rFonts w:hint="default"/>
      </w:rPr>
    </w:lvl>
    <w:lvl w:ilvl="7" w:tplc="72B28028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FB4E95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9">
    <w:nsid w:val="779436B9"/>
    <w:multiLevelType w:val="hybridMultilevel"/>
    <w:tmpl w:val="1C96F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F3370"/>
    <w:multiLevelType w:val="hybridMultilevel"/>
    <w:tmpl w:val="62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6745"/>
    <w:multiLevelType w:val="hybridMultilevel"/>
    <w:tmpl w:val="16E6F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F"/>
    <w:rsid w:val="00016768"/>
    <w:rsid w:val="00041B3E"/>
    <w:rsid w:val="00046008"/>
    <w:rsid w:val="000805C2"/>
    <w:rsid w:val="000A41ED"/>
    <w:rsid w:val="00125F63"/>
    <w:rsid w:val="00162300"/>
    <w:rsid w:val="0017596C"/>
    <w:rsid w:val="001C4079"/>
    <w:rsid w:val="001C6CDA"/>
    <w:rsid w:val="002203C1"/>
    <w:rsid w:val="00285FD6"/>
    <w:rsid w:val="002C1B8C"/>
    <w:rsid w:val="00317846"/>
    <w:rsid w:val="0034040F"/>
    <w:rsid w:val="003523D4"/>
    <w:rsid w:val="0035671D"/>
    <w:rsid w:val="00361346"/>
    <w:rsid w:val="00362AF1"/>
    <w:rsid w:val="00374E1B"/>
    <w:rsid w:val="00392D74"/>
    <w:rsid w:val="004437CB"/>
    <w:rsid w:val="004711B9"/>
    <w:rsid w:val="00473B49"/>
    <w:rsid w:val="00484E6F"/>
    <w:rsid w:val="004872B6"/>
    <w:rsid w:val="004969C9"/>
    <w:rsid w:val="004A52D8"/>
    <w:rsid w:val="004A7A7B"/>
    <w:rsid w:val="004D32D6"/>
    <w:rsid w:val="00505DA0"/>
    <w:rsid w:val="00522367"/>
    <w:rsid w:val="00541751"/>
    <w:rsid w:val="00545B3E"/>
    <w:rsid w:val="00551266"/>
    <w:rsid w:val="00581D0D"/>
    <w:rsid w:val="005837BA"/>
    <w:rsid w:val="00596440"/>
    <w:rsid w:val="005B314A"/>
    <w:rsid w:val="005F786B"/>
    <w:rsid w:val="0060586C"/>
    <w:rsid w:val="006167D4"/>
    <w:rsid w:val="00627AE0"/>
    <w:rsid w:val="007A2751"/>
    <w:rsid w:val="007E7A01"/>
    <w:rsid w:val="008057B4"/>
    <w:rsid w:val="00845E14"/>
    <w:rsid w:val="00846546"/>
    <w:rsid w:val="008D16C0"/>
    <w:rsid w:val="009100AB"/>
    <w:rsid w:val="0092060C"/>
    <w:rsid w:val="00922F4B"/>
    <w:rsid w:val="00944483"/>
    <w:rsid w:val="00975F6A"/>
    <w:rsid w:val="00980F7B"/>
    <w:rsid w:val="00995274"/>
    <w:rsid w:val="009B2E52"/>
    <w:rsid w:val="009F3BC5"/>
    <w:rsid w:val="00A1306D"/>
    <w:rsid w:val="00A145B8"/>
    <w:rsid w:val="00A30783"/>
    <w:rsid w:val="00A401E3"/>
    <w:rsid w:val="00A6188C"/>
    <w:rsid w:val="00AA13CE"/>
    <w:rsid w:val="00AB3BCB"/>
    <w:rsid w:val="00AF4226"/>
    <w:rsid w:val="00B236F5"/>
    <w:rsid w:val="00B475E9"/>
    <w:rsid w:val="00B527DC"/>
    <w:rsid w:val="00BA33AB"/>
    <w:rsid w:val="00BA47D2"/>
    <w:rsid w:val="00C50810"/>
    <w:rsid w:val="00CF7846"/>
    <w:rsid w:val="00D0116B"/>
    <w:rsid w:val="00D321B9"/>
    <w:rsid w:val="00D349CB"/>
    <w:rsid w:val="00DB356B"/>
    <w:rsid w:val="00DD2E72"/>
    <w:rsid w:val="00DE5488"/>
    <w:rsid w:val="00E534AD"/>
    <w:rsid w:val="00E76457"/>
    <w:rsid w:val="00E82479"/>
    <w:rsid w:val="00EC1770"/>
    <w:rsid w:val="00EC7441"/>
    <w:rsid w:val="00ED7BCF"/>
    <w:rsid w:val="00F4588C"/>
    <w:rsid w:val="00F8124C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4E6F"/>
    <w:pPr>
      <w:ind w:left="720"/>
      <w:contextualSpacing/>
    </w:pPr>
  </w:style>
  <w:style w:type="table" w:styleId="Tabela-Siatka">
    <w:name w:val="Table Grid"/>
    <w:basedOn w:val="Standardowy"/>
    <w:uiPriority w:val="59"/>
    <w:rsid w:val="00B4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057B4"/>
    <w:pPr>
      <w:widowControl w:val="0"/>
      <w:spacing w:before="121" w:after="0" w:line="240" w:lineRule="auto"/>
      <w:ind w:left="560" w:hanging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7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4E6F"/>
    <w:pPr>
      <w:ind w:left="720"/>
      <w:contextualSpacing/>
    </w:pPr>
  </w:style>
  <w:style w:type="table" w:styleId="Tabela-Siatka">
    <w:name w:val="Table Grid"/>
    <w:basedOn w:val="Standardowy"/>
    <w:uiPriority w:val="59"/>
    <w:rsid w:val="00B4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057B4"/>
    <w:pPr>
      <w:widowControl w:val="0"/>
      <w:spacing w:before="121" w:after="0" w:line="240" w:lineRule="auto"/>
      <w:ind w:left="560" w:hanging="4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7B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D8A0-762E-4410-9DD3-CA7BFF8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Laskowska</dc:creator>
  <cp:lastModifiedBy>kglaza</cp:lastModifiedBy>
  <cp:revision>2</cp:revision>
  <dcterms:created xsi:type="dcterms:W3CDTF">2016-09-27T09:06:00Z</dcterms:created>
  <dcterms:modified xsi:type="dcterms:W3CDTF">2016-09-27T09:06:00Z</dcterms:modified>
</cp:coreProperties>
</file>