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3" w:rsidRDefault="00A73015" w:rsidP="008E7C64">
      <w:pPr>
        <w:spacing w:before="120" w:line="320" w:lineRule="exact"/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</w:t>
      </w:r>
      <w:r w:rsidRPr="00A73015">
        <w:rPr>
          <w:rFonts w:asciiTheme="minorHAnsi" w:hAnsiTheme="minorHAnsi"/>
        </w:rPr>
        <w:t>P</w:t>
      </w:r>
      <w:r w:rsidR="00FA0AB3" w:rsidRPr="00A73015">
        <w:rPr>
          <w:rFonts w:asciiTheme="minorHAnsi" w:hAnsiTheme="minorHAnsi"/>
        </w:rPr>
        <w:t xml:space="preserve">ytania </w:t>
      </w:r>
      <w:r w:rsidRPr="00A73015">
        <w:rPr>
          <w:rFonts w:asciiTheme="minorHAnsi" w:hAnsiTheme="minorHAnsi"/>
        </w:rPr>
        <w:t xml:space="preserve">dotyczące </w:t>
      </w:r>
      <w:r w:rsidR="00FA0AB3" w:rsidRPr="00A73015">
        <w:rPr>
          <w:rFonts w:asciiTheme="minorHAnsi" w:hAnsiTheme="minorHAnsi"/>
        </w:rPr>
        <w:t xml:space="preserve"> wniosku i biznes planu:</w:t>
      </w:r>
    </w:p>
    <w:p w:rsidR="00A73015" w:rsidRPr="00A73015" w:rsidRDefault="002E2E15" w:rsidP="008E7C64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 xml:space="preserve">1 </w:t>
      </w:r>
      <w:r w:rsidR="00A73015" w:rsidRPr="00EE5D57">
        <w:rPr>
          <w:rFonts w:asciiTheme="minorHAnsi" w:hAnsiTheme="minorHAnsi"/>
          <w:b/>
          <w:highlight w:val="yellow"/>
          <w:u w:val="single"/>
        </w:rPr>
        <w:t>Pytanie:</w:t>
      </w:r>
    </w:p>
    <w:p w:rsidR="00CB55E6" w:rsidRPr="00A73015" w:rsidRDefault="00FA0AB3" w:rsidP="00A73015">
      <w:pPr>
        <w:spacing w:before="120" w:line="320" w:lineRule="exact"/>
        <w:jc w:val="both"/>
        <w:rPr>
          <w:rFonts w:asciiTheme="minorHAnsi" w:hAnsiTheme="minorHAnsi"/>
        </w:rPr>
      </w:pPr>
      <w:r w:rsidRPr="00A73015">
        <w:rPr>
          <w:rFonts w:asciiTheme="minorHAnsi" w:hAnsiTheme="minorHAnsi"/>
        </w:rPr>
        <w:t xml:space="preserve">W zapisach wzoru </w:t>
      </w:r>
      <w:r w:rsidR="00CB55E6" w:rsidRPr="00A73015">
        <w:rPr>
          <w:rFonts w:asciiTheme="minorHAnsi" w:hAnsiTheme="minorHAnsi"/>
        </w:rPr>
        <w:t>u</w:t>
      </w:r>
      <w:r w:rsidRPr="00A73015">
        <w:rPr>
          <w:rFonts w:asciiTheme="minorHAnsi" w:hAnsiTheme="minorHAnsi"/>
        </w:rPr>
        <w:t>mowy o przyznanie pomocy, dla Benefi</w:t>
      </w:r>
      <w:r w:rsidR="00CB55E6" w:rsidRPr="00A73015">
        <w:rPr>
          <w:rFonts w:asciiTheme="minorHAnsi" w:hAnsiTheme="minorHAnsi"/>
        </w:rPr>
        <w:t xml:space="preserve">cjentów realizujących operacje </w:t>
      </w:r>
      <w:r w:rsidRPr="00A73015">
        <w:rPr>
          <w:rFonts w:asciiTheme="minorHAnsi" w:hAnsiTheme="minorHAnsi"/>
        </w:rPr>
        <w:t>w zakresie określonym w § 2 ust. 1 pkt 2 lit. b – d lub pkt 3</w:t>
      </w:r>
      <w:r w:rsidR="00CB55E6" w:rsidRPr="00A73015">
        <w:rPr>
          <w:rFonts w:asciiTheme="minorHAnsi" w:hAnsiTheme="minorHAnsi"/>
        </w:rPr>
        <w:t xml:space="preserve"> – </w:t>
      </w:r>
      <w:r w:rsidRPr="00A73015">
        <w:rPr>
          <w:rFonts w:asciiTheme="minorHAnsi" w:hAnsiTheme="minorHAnsi"/>
        </w:rPr>
        <w:t>4</w:t>
      </w:r>
      <w:r w:rsidR="00CB55E6" w:rsidRPr="00A73015">
        <w:rPr>
          <w:rFonts w:asciiTheme="minorHAnsi" w:hAnsiTheme="minorHAnsi"/>
        </w:rPr>
        <w:t xml:space="preserve"> </w:t>
      </w:r>
      <w:r w:rsidRPr="00A73015">
        <w:rPr>
          <w:rFonts w:asciiTheme="minorHAnsi" w:hAnsiTheme="minorHAnsi"/>
        </w:rPr>
        <w:t>rozporządzenia, przewidziano w §</w:t>
      </w:r>
      <w:r w:rsidR="00CB55E6" w:rsidRPr="00A73015">
        <w:rPr>
          <w:rFonts w:asciiTheme="minorHAnsi" w:hAnsiTheme="minorHAnsi"/>
        </w:rPr>
        <w:t xml:space="preserve"> </w:t>
      </w:r>
      <w:r w:rsidRPr="00A73015">
        <w:rPr>
          <w:rFonts w:asciiTheme="minorHAnsi" w:hAnsiTheme="minorHAnsi"/>
        </w:rPr>
        <w:t xml:space="preserve">5 zobowiązanie do „osiągnięcia co najmniej 30% zakładanego w biznesplanie, ilościowego lub wartościowego poziomu sprzedaży produktów lub usług do dnia, w którym upłynie rok od dnia wypłaty płatności końcowej”. </w:t>
      </w:r>
    </w:p>
    <w:p w:rsidR="00FA0AB3" w:rsidRDefault="00FA0AB3" w:rsidP="00A73015">
      <w:pPr>
        <w:spacing w:before="120" w:line="320" w:lineRule="exact"/>
        <w:jc w:val="both"/>
        <w:rPr>
          <w:rFonts w:asciiTheme="minorHAnsi" w:hAnsiTheme="minorHAnsi"/>
        </w:rPr>
      </w:pPr>
      <w:r w:rsidRPr="00A73015">
        <w:rPr>
          <w:rFonts w:asciiTheme="minorHAnsi" w:hAnsiTheme="minorHAnsi"/>
        </w:rPr>
        <w:t>Prosimy o wskazanie metodologii obliczenia wymaganego poziomu sprzedaży w tym kontekście – wątpliwości budzi przede wszystkim fakt, czy poziom 30% sprzedaży odnosi się do sumy przychodów określonych w tabeli 9.2. poz. A Biznes Planu za lata od „n” do „n+3” – czy też Beneficjent zobowiązany jest do założenia poziomu przychodów jakie osiągnie w okresie roku od dnia wypłaty płatności końcowej (tabela 3.2. Biznes Planu) i z tego poziomu musi wywiązać się z osiągnięcia min. 30%?</w:t>
      </w:r>
    </w:p>
    <w:p w:rsidR="00A73015" w:rsidRPr="00A73015" w:rsidRDefault="002E2E15" w:rsidP="00A73015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 xml:space="preserve">1 </w:t>
      </w:r>
      <w:r w:rsidR="00676568" w:rsidRPr="00EE5D57">
        <w:rPr>
          <w:rFonts w:asciiTheme="minorHAnsi" w:hAnsiTheme="minorHAnsi"/>
          <w:b/>
          <w:highlight w:val="yellow"/>
          <w:u w:val="single"/>
        </w:rPr>
        <w:t>Odpowiedź</w:t>
      </w:r>
      <w:r w:rsidR="00A73015" w:rsidRPr="00EE5D57">
        <w:rPr>
          <w:rFonts w:asciiTheme="minorHAnsi" w:hAnsiTheme="minorHAnsi"/>
          <w:b/>
          <w:highlight w:val="yellow"/>
          <w:u w:val="single"/>
        </w:rPr>
        <w:t>:</w:t>
      </w:r>
    </w:p>
    <w:p w:rsidR="00A73015" w:rsidRPr="00A73015" w:rsidRDefault="008A03A5" w:rsidP="00A73015">
      <w:pPr>
        <w:spacing w:before="120" w:line="320" w:lineRule="exact"/>
        <w:jc w:val="both"/>
        <w:rPr>
          <w:rFonts w:asciiTheme="minorHAnsi" w:hAnsiTheme="minorHAnsi"/>
          <w:i/>
        </w:rPr>
      </w:pPr>
      <w:r w:rsidRPr="00A73015">
        <w:rPr>
          <w:rFonts w:asciiTheme="minorHAnsi" w:hAnsiTheme="minorHAnsi"/>
        </w:rPr>
        <w:t xml:space="preserve">W części </w:t>
      </w:r>
      <w:r w:rsidRPr="00A73015">
        <w:rPr>
          <w:rFonts w:asciiTheme="minorHAnsi" w:hAnsiTheme="minorHAnsi"/>
          <w:i/>
        </w:rPr>
        <w:t xml:space="preserve">3.2 </w:t>
      </w:r>
      <w:bookmarkStart w:id="0" w:name="_Toc454435578"/>
      <w:r w:rsidRPr="00A73015">
        <w:rPr>
          <w:rFonts w:asciiTheme="minorHAnsi" w:hAnsiTheme="minorHAnsi"/>
          <w:i/>
        </w:rPr>
        <w:t>Zakładany ilościowy i wartościowy poziom sprzedaży produktów / usług / towarów</w:t>
      </w:r>
      <w:bookmarkEnd w:id="0"/>
      <w:r w:rsidRPr="00A73015">
        <w:rPr>
          <w:rFonts w:asciiTheme="minorHAnsi" w:hAnsiTheme="minorHAnsi"/>
        </w:rPr>
        <w:t xml:space="preserve"> </w:t>
      </w:r>
      <w:r w:rsidR="000611ED" w:rsidRPr="00A73015">
        <w:rPr>
          <w:rFonts w:asciiTheme="minorHAnsi" w:hAnsiTheme="minorHAnsi"/>
        </w:rPr>
        <w:t xml:space="preserve">Wnioskodawca </w:t>
      </w:r>
      <w:r w:rsidR="00CB55E6" w:rsidRPr="00A73015">
        <w:rPr>
          <w:rFonts w:asciiTheme="minorHAnsi" w:hAnsiTheme="minorHAnsi"/>
        </w:rPr>
        <w:t xml:space="preserve">określa planowany ilościowy i wartościowy poziom sprzedaży produktów lub usług </w:t>
      </w:r>
      <w:r w:rsidR="00D45BCD" w:rsidRPr="00A73015">
        <w:rPr>
          <w:rFonts w:asciiTheme="minorHAnsi" w:hAnsiTheme="minorHAnsi"/>
        </w:rPr>
        <w:t xml:space="preserve">lub towarów </w:t>
      </w:r>
      <w:r w:rsidR="00CB55E6" w:rsidRPr="00A73015">
        <w:rPr>
          <w:rFonts w:asciiTheme="minorHAnsi" w:hAnsiTheme="minorHAnsi"/>
          <w:u w:val="single"/>
        </w:rPr>
        <w:t>do dnia, w którym upłynie rok od planowanego dnia wypłaty płatności końcowej</w:t>
      </w:r>
      <w:r w:rsidR="00CB55E6" w:rsidRPr="00A73015">
        <w:rPr>
          <w:rFonts w:asciiTheme="minorHAnsi" w:hAnsiTheme="minorHAnsi"/>
        </w:rPr>
        <w:t xml:space="preserve"> </w:t>
      </w:r>
      <w:r w:rsidR="00CB55E6" w:rsidRPr="00A73015">
        <w:rPr>
          <w:rFonts w:asciiTheme="minorHAnsi" w:hAnsiTheme="minorHAnsi"/>
          <w:i/>
        </w:rPr>
        <w:t xml:space="preserve">(Przewidywana data dokonania płatności ostatecznej </w:t>
      </w:r>
      <w:r w:rsidR="00E32996" w:rsidRPr="00A73015">
        <w:rPr>
          <w:rFonts w:asciiTheme="minorHAnsi" w:hAnsiTheme="minorHAnsi"/>
          <w:i/>
        </w:rPr>
        <w:t>–</w:t>
      </w:r>
      <w:r w:rsidR="00CB55E6" w:rsidRPr="00A73015">
        <w:rPr>
          <w:rFonts w:asciiTheme="minorHAnsi" w:hAnsiTheme="minorHAnsi"/>
          <w:i/>
        </w:rPr>
        <w:t xml:space="preserve"> powyżej Tabeli 3.2). </w:t>
      </w:r>
    </w:p>
    <w:p w:rsidR="000608DD" w:rsidRPr="00A73015" w:rsidRDefault="00CB55E6" w:rsidP="00A73015">
      <w:pPr>
        <w:spacing w:before="120" w:line="320" w:lineRule="exact"/>
        <w:jc w:val="both"/>
        <w:rPr>
          <w:rFonts w:asciiTheme="minorHAnsi" w:hAnsiTheme="minorHAnsi"/>
          <w:i/>
        </w:rPr>
      </w:pPr>
      <w:r w:rsidRPr="00A73015">
        <w:rPr>
          <w:rFonts w:asciiTheme="minorHAnsi" w:hAnsiTheme="minorHAnsi"/>
        </w:rPr>
        <w:t xml:space="preserve">Podana wartość pozostaje w korelacji z Tabelą 9.1 </w:t>
      </w:r>
      <w:bookmarkStart w:id="1" w:name="_Toc454435597"/>
      <w:r w:rsidRPr="00A73015">
        <w:rPr>
          <w:rFonts w:asciiTheme="minorHAnsi" w:hAnsiTheme="minorHAnsi"/>
        </w:rPr>
        <w:t>Prognoza poziomu cen i wielkości sprzedaży</w:t>
      </w:r>
      <w:bookmarkEnd w:id="1"/>
      <w:r w:rsidRPr="00A73015">
        <w:rPr>
          <w:rFonts w:asciiTheme="minorHAnsi" w:hAnsiTheme="minorHAnsi"/>
        </w:rPr>
        <w:t xml:space="preserve">, przy czym dane w Tabeli 9.1 dotyczą okresów obrachunkowych, a dane w Tabeli 3.2 dotyczą pełnego roku od przewidywanej daty dokonania przez ARiMR płatności ostatecznej. </w:t>
      </w:r>
    </w:p>
    <w:p w:rsidR="000608DD" w:rsidRDefault="000608DD" w:rsidP="00A73015">
      <w:pPr>
        <w:spacing w:before="120" w:line="320" w:lineRule="exact"/>
        <w:jc w:val="both"/>
        <w:rPr>
          <w:rFonts w:asciiTheme="minorHAnsi" w:hAnsiTheme="minorHAnsi"/>
        </w:rPr>
      </w:pPr>
      <w:r w:rsidRPr="00A73015">
        <w:rPr>
          <w:rFonts w:asciiTheme="minorHAnsi" w:hAnsiTheme="minorHAnsi"/>
        </w:rPr>
        <w:t xml:space="preserve">Tabela 3.2 będzie podstawą weryfikacji, czy został osiągnięty 30% (ilościowy lub wartościowy) poziom sprzedaży określony w umowie. </w:t>
      </w:r>
    </w:p>
    <w:p w:rsidR="00A73015" w:rsidRPr="00A73015" w:rsidRDefault="002E2E15" w:rsidP="00A73015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 xml:space="preserve">2 </w:t>
      </w:r>
      <w:r w:rsidR="00A73015" w:rsidRPr="00EE5D57">
        <w:rPr>
          <w:rFonts w:asciiTheme="minorHAnsi" w:hAnsiTheme="minorHAnsi"/>
          <w:b/>
          <w:highlight w:val="yellow"/>
          <w:u w:val="single"/>
        </w:rPr>
        <w:t>Pytanie:</w:t>
      </w:r>
    </w:p>
    <w:p w:rsidR="00FA0AB3" w:rsidRPr="00A73015" w:rsidRDefault="00FA0AB3" w:rsidP="00A73015">
      <w:pPr>
        <w:spacing w:before="120" w:line="320" w:lineRule="exact"/>
        <w:jc w:val="both"/>
        <w:rPr>
          <w:rFonts w:asciiTheme="minorHAnsi" w:hAnsiTheme="minorHAnsi"/>
        </w:rPr>
      </w:pPr>
      <w:r w:rsidRPr="00A73015">
        <w:rPr>
          <w:rFonts w:asciiTheme="minorHAnsi" w:hAnsiTheme="minorHAnsi"/>
        </w:rPr>
        <w:t>We wzorze wniosku o dofinansowanie dla projektów innych niż granty oraz premie na założenie działalności gospodarczej, w zakładce „Obliczenie NPV”:</w:t>
      </w:r>
    </w:p>
    <w:p w:rsidR="00FA0AB3" w:rsidRDefault="00FA0AB3" w:rsidP="00A73015">
      <w:pPr>
        <w:spacing w:before="120" w:line="320" w:lineRule="exact"/>
        <w:jc w:val="both"/>
        <w:rPr>
          <w:rFonts w:asciiTheme="minorHAnsi" w:hAnsiTheme="minorHAnsi"/>
        </w:rPr>
      </w:pPr>
      <w:r w:rsidRPr="00A73015">
        <w:rPr>
          <w:rFonts w:asciiTheme="minorHAnsi" w:hAnsiTheme="minorHAnsi"/>
        </w:rPr>
        <w:t>- w tabeli B w pozycji II Amortyzacja, odwołano się do tabeli A, pozycji 8 w której widnieją Koszty transportu  - prosimy o weryfikację zapisów tabeli B w tym zakresie (wydaje się że powinno być w niej odwołan</w:t>
      </w:r>
      <w:r w:rsidR="00A73015">
        <w:rPr>
          <w:rFonts w:asciiTheme="minorHAnsi" w:hAnsiTheme="minorHAnsi"/>
        </w:rPr>
        <w:t>ie do pozycji nr 6b w tabeli A)</w:t>
      </w:r>
    </w:p>
    <w:p w:rsidR="00A73015" w:rsidRPr="00A73015" w:rsidRDefault="002E2E15" w:rsidP="00A73015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 xml:space="preserve">2 </w:t>
      </w:r>
      <w:r w:rsidR="00676568" w:rsidRPr="00EE5D57">
        <w:rPr>
          <w:rFonts w:asciiTheme="minorHAnsi" w:hAnsiTheme="minorHAnsi"/>
          <w:b/>
          <w:highlight w:val="yellow"/>
          <w:u w:val="single"/>
        </w:rPr>
        <w:t>Odpowiedź</w:t>
      </w:r>
      <w:r w:rsidR="00A73015" w:rsidRPr="00EE5D57">
        <w:rPr>
          <w:rFonts w:asciiTheme="minorHAnsi" w:hAnsiTheme="minorHAnsi"/>
          <w:b/>
          <w:highlight w:val="yellow"/>
          <w:u w:val="single"/>
        </w:rPr>
        <w:t>:</w:t>
      </w:r>
    </w:p>
    <w:p w:rsidR="00F60000" w:rsidRDefault="00F60000" w:rsidP="00A73015">
      <w:pPr>
        <w:spacing w:before="120" w:line="320" w:lineRule="exact"/>
        <w:jc w:val="both"/>
        <w:rPr>
          <w:rFonts w:asciiTheme="minorHAnsi" w:hAnsiTheme="minorHAnsi"/>
        </w:rPr>
      </w:pPr>
      <w:r w:rsidRPr="00A73015">
        <w:rPr>
          <w:rFonts w:asciiTheme="minorHAnsi" w:hAnsiTheme="minorHAnsi"/>
        </w:rPr>
        <w:t>Poprawimy odwołanie.</w:t>
      </w:r>
      <w:r w:rsidR="00F824E4" w:rsidRPr="00A73015">
        <w:rPr>
          <w:rFonts w:asciiTheme="minorHAnsi" w:hAnsiTheme="minorHAnsi"/>
        </w:rPr>
        <w:t>-</w:t>
      </w:r>
    </w:p>
    <w:p w:rsidR="00A73015" w:rsidRPr="00A73015" w:rsidRDefault="002E2E15" w:rsidP="00A73015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3 Pytanie</w:t>
      </w:r>
      <w:r w:rsidR="00A73015" w:rsidRPr="00EE5D57">
        <w:rPr>
          <w:rFonts w:asciiTheme="minorHAnsi" w:hAnsiTheme="minorHAnsi"/>
          <w:b/>
          <w:highlight w:val="yellow"/>
          <w:u w:val="single"/>
        </w:rPr>
        <w:t>:</w:t>
      </w:r>
    </w:p>
    <w:p w:rsidR="00FA0AB3" w:rsidRDefault="00FA0AB3" w:rsidP="002E2E15">
      <w:pPr>
        <w:spacing w:before="120" w:line="320" w:lineRule="exact"/>
        <w:jc w:val="both"/>
        <w:rPr>
          <w:rFonts w:asciiTheme="minorHAnsi" w:hAnsiTheme="minorHAnsi"/>
        </w:rPr>
      </w:pPr>
      <w:r w:rsidRPr="002E2E15">
        <w:rPr>
          <w:rFonts w:asciiTheme="minorHAnsi" w:hAnsiTheme="minorHAnsi"/>
        </w:rPr>
        <w:t>Biznes Plan: jaki poziom stopy dyskonta należy zastosować do obliczenia z</w:t>
      </w:r>
      <w:r w:rsidR="008A43AC" w:rsidRPr="002E2E15">
        <w:rPr>
          <w:rFonts w:asciiTheme="minorHAnsi" w:hAnsiTheme="minorHAnsi"/>
        </w:rPr>
        <w:t>aktualizowanej wartości netto w </w:t>
      </w:r>
      <w:r w:rsidRPr="002E2E15">
        <w:rPr>
          <w:rFonts w:asciiTheme="minorHAnsi" w:hAnsiTheme="minorHAnsi"/>
        </w:rPr>
        <w:t>tabeli 9.3.?</w:t>
      </w:r>
    </w:p>
    <w:p w:rsidR="002E2E15" w:rsidRPr="002E2E15" w:rsidRDefault="002E2E15" w:rsidP="002E2E15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 xml:space="preserve">3 </w:t>
      </w:r>
      <w:r w:rsidR="00676568" w:rsidRPr="00EE5D57">
        <w:rPr>
          <w:rFonts w:asciiTheme="minorHAnsi" w:hAnsiTheme="minorHAnsi"/>
          <w:b/>
          <w:highlight w:val="yellow"/>
          <w:u w:val="single"/>
        </w:rPr>
        <w:t>Odpowiedź</w:t>
      </w:r>
      <w:r w:rsidRPr="00EE5D57">
        <w:rPr>
          <w:rFonts w:asciiTheme="minorHAnsi" w:hAnsiTheme="minorHAnsi"/>
          <w:b/>
          <w:highlight w:val="yellow"/>
          <w:u w:val="single"/>
        </w:rPr>
        <w:t>:</w:t>
      </w:r>
    </w:p>
    <w:p w:rsidR="002E2E15" w:rsidRDefault="0049386F" w:rsidP="00B204F8">
      <w:pPr>
        <w:spacing w:before="120" w:line="320" w:lineRule="exact"/>
        <w:jc w:val="both"/>
        <w:rPr>
          <w:rFonts w:asciiTheme="minorHAnsi" w:hAnsiTheme="minorHAnsi"/>
        </w:rPr>
      </w:pPr>
      <w:r w:rsidRPr="002E2E15">
        <w:rPr>
          <w:rFonts w:asciiTheme="minorHAnsi" w:hAnsiTheme="minorHAnsi"/>
        </w:rPr>
        <w:t xml:space="preserve">Przyjmujemy stopę dyskontową podawaną przez UOKIK </w:t>
      </w:r>
      <w:r w:rsidR="00E32996" w:rsidRPr="002E2E15">
        <w:rPr>
          <w:rFonts w:asciiTheme="minorHAnsi" w:hAnsiTheme="minorHAnsi"/>
        </w:rPr>
        <w:t>–</w:t>
      </w:r>
      <w:r w:rsidRPr="002E2E15">
        <w:rPr>
          <w:rFonts w:asciiTheme="minorHAnsi" w:hAnsiTheme="minorHAnsi"/>
        </w:rPr>
        <w:t xml:space="preserve"> obecnie 2,83%.</w:t>
      </w:r>
    </w:p>
    <w:p w:rsidR="002E2E15" w:rsidRDefault="002E2E15" w:rsidP="00B204F8">
      <w:pPr>
        <w:spacing w:before="120" w:line="320" w:lineRule="exact"/>
        <w:jc w:val="both"/>
        <w:rPr>
          <w:rFonts w:asciiTheme="minorHAnsi" w:hAnsiTheme="minorHAnsi"/>
        </w:rPr>
      </w:pPr>
    </w:p>
    <w:p w:rsidR="002E2E15" w:rsidRPr="002E2E15" w:rsidRDefault="002E2E15" w:rsidP="00B204F8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4 Pytanie:</w:t>
      </w:r>
    </w:p>
    <w:p w:rsidR="00BB1A1F" w:rsidRPr="002E2E15" w:rsidRDefault="002E2E15" w:rsidP="00B204F8">
      <w:pPr>
        <w:spacing w:before="120" w:line="320" w:lineRule="exact"/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Z</w:t>
      </w:r>
      <w:r w:rsidR="00FA0AB3" w:rsidRPr="002E2E15">
        <w:rPr>
          <w:rFonts w:asciiTheme="minorHAnsi" w:hAnsiTheme="minorHAnsi"/>
        </w:rPr>
        <w:t xml:space="preserve"> uwagi na nieprecyzyjne określenie zawarte w Biznes Planie zwracamy się z prośbą o podanie kompletnego wzoru na obliczenie „wskaźnika rentowności sprzedaży” przedstawion</w:t>
      </w:r>
      <w:r>
        <w:rPr>
          <w:rFonts w:asciiTheme="minorHAnsi" w:hAnsiTheme="minorHAnsi"/>
        </w:rPr>
        <w:t>ego z punkcie 9.4. Biznes Planu</w:t>
      </w:r>
    </w:p>
    <w:p w:rsidR="004E29DF" w:rsidRPr="00453FDB" w:rsidRDefault="00F824E4" w:rsidP="00453FDB">
      <w:pPr>
        <w:spacing w:before="120" w:line="320" w:lineRule="exact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4D2088" wp14:editId="6FE5FD09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218815" cy="82296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4E4" w:rsidRDefault="00F824E4" w:rsidP="00453FDB">
      <w:pPr>
        <w:spacing w:before="120" w:line="320" w:lineRule="exact"/>
        <w:ind w:left="360"/>
        <w:jc w:val="both"/>
        <w:rPr>
          <w:rFonts w:ascii="Times New Roman" w:hAnsi="Times New Roman"/>
          <w:i/>
        </w:rPr>
      </w:pPr>
    </w:p>
    <w:p w:rsidR="00F824E4" w:rsidRDefault="00F824E4" w:rsidP="00453FDB">
      <w:pPr>
        <w:spacing w:before="120" w:line="320" w:lineRule="exact"/>
        <w:ind w:left="360"/>
        <w:jc w:val="both"/>
        <w:rPr>
          <w:rFonts w:ascii="Times New Roman" w:hAnsi="Times New Roman"/>
          <w:i/>
        </w:rPr>
      </w:pPr>
    </w:p>
    <w:p w:rsidR="00F824E4" w:rsidRDefault="00F824E4" w:rsidP="00453FDB">
      <w:pPr>
        <w:spacing w:before="120" w:line="320" w:lineRule="exact"/>
        <w:ind w:left="360"/>
        <w:jc w:val="both"/>
        <w:rPr>
          <w:rFonts w:ascii="Times New Roman" w:hAnsi="Times New Roman"/>
          <w:i/>
        </w:rPr>
      </w:pPr>
    </w:p>
    <w:p w:rsidR="002E2E15" w:rsidRPr="002E2E15" w:rsidRDefault="002E2E15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 xml:space="preserve">4 </w:t>
      </w:r>
      <w:r w:rsidR="00676568" w:rsidRPr="00EE5D57">
        <w:rPr>
          <w:rFonts w:asciiTheme="minorHAnsi" w:hAnsiTheme="minorHAnsi"/>
          <w:b/>
          <w:highlight w:val="yellow"/>
          <w:u w:val="single"/>
        </w:rPr>
        <w:t>Odpowiedź</w:t>
      </w:r>
      <w:r w:rsidRPr="00EE5D57">
        <w:rPr>
          <w:rFonts w:asciiTheme="minorHAnsi" w:hAnsiTheme="minorHAnsi"/>
          <w:b/>
          <w:highlight w:val="yellow"/>
          <w:u w:val="single"/>
        </w:rPr>
        <w:t>:</w:t>
      </w:r>
    </w:p>
    <w:p w:rsidR="00F824E4" w:rsidRPr="002E2E15" w:rsidRDefault="00F824E4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</w:rPr>
      </w:pPr>
      <w:r w:rsidRPr="002E2E15">
        <w:rPr>
          <w:rFonts w:asciiTheme="minorHAnsi" w:hAnsiTheme="minorHAnsi"/>
        </w:rPr>
        <w:t xml:space="preserve">Wskaźnik ROS nie ma wartości minimalnej. Jego wartość w znacznym stopniu zależy nie tylko od wielkości podmiotu, ale też od branży, w której funkcjonuje. </w:t>
      </w:r>
    </w:p>
    <w:p w:rsidR="00F824E4" w:rsidRDefault="00F824E4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</w:rPr>
      </w:pPr>
      <w:r w:rsidRPr="002E2E15">
        <w:rPr>
          <w:rFonts w:asciiTheme="minorHAnsi" w:hAnsiTheme="minorHAnsi"/>
        </w:rPr>
        <w:t xml:space="preserve">Im rentowność sprzedaży danego przedsiębiorstwa jest wyższa, tym lepszą wykazuje efektywność.  Podstawowym założeniem przyjętym przez podmiot powinno być utrzymanie </w:t>
      </w:r>
      <w:r w:rsidRPr="002E2E15">
        <w:rPr>
          <w:rFonts w:asciiTheme="minorHAnsi" w:hAnsiTheme="minorHAnsi"/>
          <w:bCs/>
        </w:rPr>
        <w:t>rentowności sprzedaży</w:t>
      </w:r>
      <w:r w:rsidRPr="002E2E15">
        <w:rPr>
          <w:rFonts w:asciiTheme="minorHAnsi" w:hAnsiTheme="minorHAnsi"/>
        </w:rPr>
        <w:t xml:space="preserve"> przynajmniej na tym samym poziomie, przez dłuższy czas funkcjonowania działalności.  Zatem zwiększenie wartości </w:t>
      </w:r>
      <w:r w:rsidRPr="002E2E15">
        <w:rPr>
          <w:rFonts w:asciiTheme="minorHAnsi" w:hAnsiTheme="minorHAnsi"/>
          <w:bCs/>
        </w:rPr>
        <w:t>wskaźnika rentowności sprzedaży</w:t>
      </w:r>
      <w:r w:rsidRPr="002E2E15">
        <w:rPr>
          <w:rFonts w:asciiTheme="minorHAnsi" w:hAnsiTheme="minorHAnsi"/>
        </w:rPr>
        <w:t xml:space="preserve"> na przestrzeni czasu jest równoznaczne z podniesieniem jej efektywności.</w:t>
      </w:r>
    </w:p>
    <w:p w:rsidR="002E2E15" w:rsidRDefault="002E2E15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</w:rPr>
      </w:pPr>
    </w:p>
    <w:p w:rsidR="002E2E15" w:rsidRDefault="002E2E15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5 Pytanie:</w:t>
      </w:r>
    </w:p>
    <w:p w:rsidR="00BB1A1F" w:rsidRDefault="00BB1A1F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</w:rPr>
      </w:pPr>
      <w:r w:rsidRPr="002E2E15">
        <w:rPr>
          <w:rFonts w:asciiTheme="minorHAnsi" w:hAnsiTheme="minorHAnsi"/>
        </w:rPr>
        <w:t>w biznesplanie pkt 2.2. Posiadane zasoby, które będą wykorzystane do prowadzonej działalność gospodarczej</w:t>
      </w:r>
      <w:r w:rsidRPr="002E2E15">
        <w:rPr>
          <w:rFonts w:asciiTheme="minorHAnsi" w:hAnsiTheme="minorHAnsi"/>
          <w:b/>
        </w:rPr>
        <w:t xml:space="preserve"> – </w:t>
      </w:r>
      <w:r w:rsidRPr="002E2E15">
        <w:rPr>
          <w:rFonts w:asciiTheme="minorHAnsi" w:hAnsiTheme="minorHAnsi"/>
        </w:rPr>
        <w:t>jaki tytuł prawny wpisać gdy małżonek 1 chce realizować inwestycję na nieruchomości współmałżonka 2, przy założeniu że małżonek 1 nie jest współwłaścicielem nieruchomości?</w:t>
      </w:r>
    </w:p>
    <w:p w:rsidR="002E2E15" w:rsidRDefault="002E2E15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</w:rPr>
      </w:pPr>
    </w:p>
    <w:p w:rsidR="002E2E15" w:rsidRPr="002E2E15" w:rsidRDefault="00676568" w:rsidP="002E2E15">
      <w:pPr>
        <w:tabs>
          <w:tab w:val="num" w:pos="720"/>
        </w:tabs>
        <w:spacing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5 Odpowiedź</w:t>
      </w:r>
      <w:r w:rsidR="002E2E15" w:rsidRPr="00EE5D57">
        <w:rPr>
          <w:rFonts w:asciiTheme="minorHAnsi" w:hAnsiTheme="minorHAnsi"/>
          <w:highlight w:val="yellow"/>
        </w:rPr>
        <w:t>:</w:t>
      </w:r>
    </w:p>
    <w:p w:rsidR="00453FDB" w:rsidRDefault="0049386F" w:rsidP="002E2E15">
      <w:pPr>
        <w:spacing w:before="120" w:line="320" w:lineRule="exact"/>
        <w:jc w:val="both"/>
        <w:rPr>
          <w:rFonts w:asciiTheme="minorHAnsi" w:hAnsiTheme="minorHAnsi"/>
        </w:rPr>
      </w:pPr>
      <w:r w:rsidRPr="002E2E15">
        <w:rPr>
          <w:rFonts w:asciiTheme="minorHAnsi" w:hAnsiTheme="minorHAnsi"/>
        </w:rPr>
        <w:t>W tej sytuacji małżonek 1 nie posiada tytułu prawnego do nieruchomości</w:t>
      </w:r>
      <w:r w:rsidR="00E32996" w:rsidRPr="002E2E15">
        <w:rPr>
          <w:rFonts w:asciiTheme="minorHAnsi" w:hAnsiTheme="minorHAnsi"/>
        </w:rPr>
        <w:t xml:space="preserve"> b</w:t>
      </w:r>
      <w:r w:rsidRPr="002E2E15">
        <w:rPr>
          <w:rFonts w:asciiTheme="minorHAnsi" w:hAnsiTheme="minorHAnsi"/>
        </w:rPr>
        <w:t xml:space="preserve">ędzie mógł zrealizować tam inwestycję, jeśli </w:t>
      </w:r>
      <w:r w:rsidR="00E32996" w:rsidRPr="002E2E15">
        <w:rPr>
          <w:rFonts w:asciiTheme="minorHAnsi" w:hAnsiTheme="minorHAnsi"/>
        </w:rPr>
        <w:t xml:space="preserve">zdobędzie </w:t>
      </w:r>
      <w:r w:rsidR="003F7155" w:rsidRPr="002E2E15">
        <w:rPr>
          <w:rFonts w:asciiTheme="minorHAnsi" w:hAnsiTheme="minorHAnsi"/>
        </w:rPr>
        <w:t xml:space="preserve">tytuł prawny </w:t>
      </w:r>
      <w:r w:rsidR="00E32996" w:rsidRPr="002E2E15">
        <w:rPr>
          <w:rFonts w:asciiTheme="minorHAnsi" w:hAnsiTheme="minorHAnsi"/>
        </w:rPr>
        <w:t xml:space="preserve">do nieruchomości (np. umowę użyczenia lub umowę dzierżawy na okres realizacji operacji oraz okres trwałości, który np. </w:t>
      </w:r>
      <w:r w:rsidR="00E32996" w:rsidRPr="002E2E15">
        <w:rPr>
          <w:rFonts w:asciiTheme="minorHAnsi" w:hAnsiTheme="minorHAnsi"/>
        </w:rPr>
        <w:br/>
        <w:t>w przypadku rozwijania działalności gospodarczej wynosi 3 lata od dnia dokonania przez ARiMR płatności ostatecznej), Dodatkowy wymaganym załącznikiem będzie zgoda</w:t>
      </w:r>
      <w:r w:rsidR="003F7155" w:rsidRPr="002E2E15">
        <w:rPr>
          <w:rFonts w:asciiTheme="minorHAnsi" w:hAnsiTheme="minorHAnsi"/>
        </w:rPr>
        <w:t xml:space="preserve"> właściciela </w:t>
      </w:r>
      <w:r w:rsidR="00E32996" w:rsidRPr="002E2E15">
        <w:rPr>
          <w:rFonts w:asciiTheme="minorHAnsi" w:hAnsiTheme="minorHAnsi"/>
        </w:rPr>
        <w:t xml:space="preserve">(małżonka 2) </w:t>
      </w:r>
      <w:r w:rsidR="003F7155" w:rsidRPr="002E2E15">
        <w:rPr>
          <w:rFonts w:asciiTheme="minorHAnsi" w:hAnsiTheme="minorHAnsi"/>
        </w:rPr>
        <w:t>na real</w:t>
      </w:r>
      <w:r w:rsidR="00E32996" w:rsidRPr="002E2E15">
        <w:rPr>
          <w:rFonts w:asciiTheme="minorHAnsi" w:hAnsiTheme="minorHAnsi"/>
        </w:rPr>
        <w:t>izację w tym miejscu inwestycji</w:t>
      </w:r>
      <w:r w:rsidR="003F7155" w:rsidRPr="002E2E15">
        <w:rPr>
          <w:rFonts w:asciiTheme="minorHAnsi" w:hAnsiTheme="minorHAnsi"/>
        </w:rPr>
        <w:t>.</w:t>
      </w:r>
    </w:p>
    <w:p w:rsidR="00AD6463" w:rsidRPr="00AD6463" w:rsidRDefault="00AD6463" w:rsidP="002E2E15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6 Pytanie:</w:t>
      </w:r>
    </w:p>
    <w:p w:rsidR="00FA0AB3" w:rsidRDefault="00FA0AB3" w:rsidP="00AD6463">
      <w:pPr>
        <w:spacing w:before="120" w:line="320" w:lineRule="exact"/>
        <w:jc w:val="both"/>
        <w:rPr>
          <w:rFonts w:asciiTheme="minorHAnsi" w:hAnsiTheme="minorHAnsi"/>
        </w:rPr>
      </w:pPr>
      <w:r w:rsidRPr="00676568">
        <w:rPr>
          <w:rFonts w:asciiTheme="minorHAnsi" w:hAnsiTheme="minorHAnsi"/>
        </w:rPr>
        <w:t>Czy wytyczne przedstawione w dokumencie „Zasady konkurencyjności wydatków w ramach PROW 2014-2020” dotyczą też operacji w zakresie Premii na założ</w:t>
      </w:r>
      <w:r w:rsidR="008A03A5" w:rsidRPr="00676568">
        <w:rPr>
          <w:rFonts w:asciiTheme="minorHAnsi" w:hAnsiTheme="minorHAnsi"/>
        </w:rPr>
        <w:t>enie działalności gospodarczej?</w:t>
      </w:r>
    </w:p>
    <w:p w:rsidR="00676568" w:rsidRDefault="00676568" w:rsidP="00676568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6 Odpowiedź:</w:t>
      </w:r>
    </w:p>
    <w:p w:rsidR="008A03A5" w:rsidRDefault="00676568" w:rsidP="00676568">
      <w:pPr>
        <w:spacing w:before="120" w:line="32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</w:t>
      </w:r>
      <w:r w:rsidR="008A03A5" w:rsidRPr="00676568">
        <w:rPr>
          <w:rFonts w:asciiTheme="minorHAnsi" w:hAnsiTheme="minorHAnsi"/>
        </w:rPr>
        <w:t xml:space="preserve">. Jeśli jednak beneficjent zechce </w:t>
      </w:r>
      <w:r w:rsidR="00F824E4" w:rsidRPr="00676568">
        <w:rPr>
          <w:rFonts w:asciiTheme="minorHAnsi" w:hAnsiTheme="minorHAnsi"/>
        </w:rPr>
        <w:t xml:space="preserve">może </w:t>
      </w:r>
      <w:r w:rsidR="008A03A5" w:rsidRPr="00676568">
        <w:rPr>
          <w:rFonts w:asciiTheme="minorHAnsi" w:hAnsiTheme="minorHAnsi"/>
        </w:rPr>
        <w:t>je zastosować</w:t>
      </w:r>
      <w:r w:rsidR="00F824E4" w:rsidRPr="00676568">
        <w:rPr>
          <w:rFonts w:asciiTheme="minorHAnsi" w:hAnsiTheme="minorHAnsi"/>
        </w:rPr>
        <w:t xml:space="preserve"> (nie będzie to jednak podlegać weryfikacji)</w:t>
      </w:r>
      <w:r w:rsidR="008A03A5" w:rsidRPr="00676568">
        <w:rPr>
          <w:rFonts w:asciiTheme="minorHAnsi" w:hAnsiTheme="minorHAnsi"/>
        </w:rPr>
        <w:t>.</w:t>
      </w:r>
    </w:p>
    <w:p w:rsidR="00676568" w:rsidRDefault="00676568" w:rsidP="00676568">
      <w:pPr>
        <w:spacing w:before="120" w:line="320" w:lineRule="exact"/>
        <w:jc w:val="both"/>
        <w:rPr>
          <w:rFonts w:asciiTheme="minorHAnsi" w:hAnsiTheme="minorHAnsi"/>
        </w:rPr>
      </w:pPr>
    </w:p>
    <w:p w:rsidR="00676568" w:rsidRDefault="00676568" w:rsidP="00676568">
      <w:pPr>
        <w:spacing w:before="120" w:line="320" w:lineRule="exact"/>
        <w:jc w:val="both"/>
        <w:rPr>
          <w:rFonts w:asciiTheme="minorHAnsi" w:hAnsiTheme="minorHAnsi"/>
        </w:rPr>
      </w:pPr>
    </w:p>
    <w:p w:rsidR="00676568" w:rsidRDefault="00676568" w:rsidP="00676568">
      <w:pPr>
        <w:spacing w:before="120" w:line="320" w:lineRule="exact"/>
        <w:jc w:val="both"/>
        <w:rPr>
          <w:rFonts w:asciiTheme="minorHAnsi" w:hAnsiTheme="minorHAnsi"/>
        </w:rPr>
      </w:pPr>
    </w:p>
    <w:p w:rsidR="00676568" w:rsidRDefault="00676568" w:rsidP="00676568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7 Pytanie:</w:t>
      </w:r>
    </w:p>
    <w:p w:rsidR="00372FF3" w:rsidRDefault="00FA0AB3" w:rsidP="00676568">
      <w:pPr>
        <w:spacing w:before="120" w:line="320" w:lineRule="exact"/>
        <w:jc w:val="both"/>
        <w:rPr>
          <w:rFonts w:asciiTheme="minorHAnsi" w:hAnsiTheme="minorHAnsi"/>
        </w:rPr>
      </w:pPr>
      <w:r w:rsidRPr="00676568">
        <w:rPr>
          <w:rFonts w:asciiTheme="minorHAnsi" w:hAnsiTheme="minorHAnsi"/>
        </w:rPr>
        <w:t xml:space="preserve">We wzorze wniosku o dofinansowanie dla projektów innych niż granty oraz premie na założenie działalności gospodarczej, przedstawiono zakładkę „Obliczenie NPV” – zwracamy się z prośbą o potwierdzenie, że obliczenia w tym punkcie wniosku dotyczą tylko operacji niekomercyjnych, natomiast Beneficjenci realizujący operację  w zakresie określonym w § 2 ust. 1 pkt 2 lit. b – d lub pkt 3-4 rozporządzenia nie mają obowiązku wypełnienia tej części wniosku (i zobligowani są do obliczenia NPV zawartego w Biznes Planie) a w konsekwencji prosimy o wskazanie których wnioskodawców i których typów operacji dotyczą zapisy wniosku o dofinansowanie zawarte w zakładce „Obliczenie </w:t>
      </w:r>
      <w:proofErr w:type="spellStart"/>
      <w:r w:rsidRPr="00676568">
        <w:rPr>
          <w:rFonts w:asciiTheme="minorHAnsi" w:hAnsiTheme="minorHAnsi"/>
        </w:rPr>
        <w:t>NPV</w:t>
      </w:r>
      <w:proofErr w:type="spellEnd"/>
      <w:r w:rsidRPr="00676568">
        <w:rPr>
          <w:rFonts w:asciiTheme="minorHAnsi" w:hAnsiTheme="minorHAnsi"/>
        </w:rPr>
        <w:t>”.</w:t>
      </w:r>
    </w:p>
    <w:p w:rsidR="00676568" w:rsidRPr="00676568" w:rsidRDefault="00676568" w:rsidP="00676568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7 Odpowiedź:</w:t>
      </w:r>
    </w:p>
    <w:p w:rsidR="00F824E4" w:rsidRPr="00676568" w:rsidRDefault="00E36AA4" w:rsidP="00676568">
      <w:pPr>
        <w:spacing w:before="120" w:line="320" w:lineRule="exact"/>
        <w:jc w:val="both"/>
        <w:rPr>
          <w:rFonts w:asciiTheme="minorHAnsi" w:hAnsiTheme="minorHAnsi"/>
        </w:rPr>
      </w:pPr>
      <w:r w:rsidRPr="00676568">
        <w:rPr>
          <w:rFonts w:asciiTheme="minorHAnsi" w:hAnsiTheme="minorHAnsi"/>
        </w:rPr>
        <w:t xml:space="preserve">TAK, „obliczenie </w:t>
      </w:r>
      <w:proofErr w:type="spellStart"/>
      <w:r w:rsidRPr="00676568">
        <w:rPr>
          <w:rFonts w:asciiTheme="minorHAnsi" w:hAnsiTheme="minorHAnsi"/>
        </w:rPr>
        <w:t>NPV</w:t>
      </w:r>
      <w:proofErr w:type="spellEnd"/>
      <w:r w:rsidRPr="00676568">
        <w:rPr>
          <w:rFonts w:asciiTheme="minorHAnsi" w:hAnsiTheme="minorHAnsi"/>
        </w:rPr>
        <w:t>” dotyczy tylko operacji niekomercyjnych</w:t>
      </w:r>
      <w:r w:rsidR="00004000" w:rsidRPr="00676568">
        <w:rPr>
          <w:rFonts w:asciiTheme="minorHAnsi" w:hAnsiTheme="minorHAnsi"/>
        </w:rPr>
        <w:t xml:space="preserve">, tj. zakresu, o którym </w:t>
      </w:r>
      <w:r w:rsidR="00453FDB" w:rsidRPr="00676568">
        <w:rPr>
          <w:rFonts w:asciiTheme="minorHAnsi" w:hAnsiTheme="minorHAnsi"/>
        </w:rPr>
        <w:t>mowa w §2 </w:t>
      </w:r>
      <w:r w:rsidR="00004000" w:rsidRPr="00676568">
        <w:rPr>
          <w:rFonts w:asciiTheme="minorHAnsi" w:hAnsiTheme="minorHAnsi"/>
        </w:rPr>
        <w:t>ust. 1 pkt 6 rozporządzenia</w:t>
      </w:r>
      <w:r w:rsidRPr="00676568">
        <w:rPr>
          <w:rFonts w:asciiTheme="minorHAnsi" w:hAnsiTheme="minorHAnsi"/>
        </w:rPr>
        <w:t xml:space="preserve">. </w:t>
      </w:r>
    </w:p>
    <w:p w:rsidR="008E7C64" w:rsidRDefault="00E36AA4" w:rsidP="00676568">
      <w:pPr>
        <w:spacing w:before="120" w:line="320" w:lineRule="exact"/>
        <w:jc w:val="both"/>
        <w:rPr>
          <w:rFonts w:asciiTheme="minorHAnsi" w:hAnsiTheme="minorHAnsi"/>
        </w:rPr>
      </w:pPr>
      <w:r w:rsidRPr="00676568">
        <w:rPr>
          <w:rFonts w:asciiTheme="minorHAnsi" w:hAnsiTheme="minorHAnsi"/>
        </w:rPr>
        <w:t>Wnioskodawcy, którzy składają biznesplan nie wypełniają tego załącznika.</w:t>
      </w:r>
    </w:p>
    <w:p w:rsidR="00EE5D57" w:rsidRPr="00EE5D57" w:rsidRDefault="00EE5D57" w:rsidP="00676568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8 Pytanie:</w:t>
      </w:r>
    </w:p>
    <w:p w:rsidR="00372FF3" w:rsidRDefault="00FA0AB3" w:rsidP="00EE5D57">
      <w:pPr>
        <w:spacing w:before="120" w:line="320" w:lineRule="exact"/>
        <w:jc w:val="both"/>
        <w:rPr>
          <w:rFonts w:asciiTheme="minorHAnsi" w:hAnsiTheme="minorHAnsi"/>
        </w:rPr>
      </w:pPr>
      <w:r w:rsidRPr="00EE5D57">
        <w:rPr>
          <w:rFonts w:asciiTheme="minorHAnsi" w:hAnsiTheme="minorHAnsi"/>
        </w:rPr>
        <w:t xml:space="preserve">W formularzu wniosku o dofinansowanie, w zakładce „Zestawienie rzeczowo finansowe operacji” część pół jest zablokowana do edycji (arkusz chroniony) a ich odblokowanie wymaga podania hasła – dotyczy to np. sumy w wierszu „Suma I”. Zwracamy się z prośbą o odblokowanie wszystkich pół wniosku do edycji lub podanie </w:t>
      </w:r>
      <w:r w:rsidR="002F7C5E" w:rsidRPr="00EE5D57">
        <w:rPr>
          <w:rFonts w:asciiTheme="minorHAnsi" w:hAnsiTheme="minorHAnsi"/>
        </w:rPr>
        <w:t>hasła które te pola odblokowuje.</w:t>
      </w:r>
    </w:p>
    <w:p w:rsidR="00EE5D57" w:rsidRPr="00EE5D57" w:rsidRDefault="00EE5D57" w:rsidP="00EE5D57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8 Odpowiedź:</w:t>
      </w:r>
    </w:p>
    <w:p w:rsidR="002F7C5E" w:rsidRDefault="002F7C5E" w:rsidP="00EE5D57">
      <w:pPr>
        <w:spacing w:before="120" w:line="320" w:lineRule="exact"/>
        <w:jc w:val="both"/>
        <w:rPr>
          <w:rFonts w:asciiTheme="minorHAnsi" w:hAnsiTheme="minorHAnsi"/>
        </w:rPr>
      </w:pPr>
      <w:r w:rsidRPr="00EE5D57">
        <w:rPr>
          <w:rFonts w:asciiTheme="minorHAnsi" w:hAnsiTheme="minorHAnsi"/>
        </w:rPr>
        <w:t>Formularz zostanie odblokowany do edycji we wskazanym</w:t>
      </w:r>
      <w:r w:rsidR="00087930" w:rsidRPr="00EE5D57">
        <w:rPr>
          <w:rFonts w:asciiTheme="minorHAnsi" w:hAnsiTheme="minorHAnsi"/>
        </w:rPr>
        <w:t xml:space="preserve"> zakresie i zamieszczony wraz z </w:t>
      </w:r>
      <w:r w:rsidRPr="00EE5D57">
        <w:rPr>
          <w:rFonts w:asciiTheme="minorHAnsi" w:hAnsiTheme="minorHAnsi"/>
        </w:rPr>
        <w:t xml:space="preserve">informacją o zmianie na stronie internetowej ARiMR - </w:t>
      </w:r>
      <w:hyperlink r:id="rId7" w:history="1">
        <w:r w:rsidR="00EE5D57" w:rsidRPr="003773B2">
          <w:rPr>
            <w:rStyle w:val="Hipercze"/>
            <w:rFonts w:asciiTheme="minorHAnsi" w:hAnsiTheme="minorHAnsi"/>
          </w:rPr>
          <w:t>www.arimr.gov.pl</w:t>
        </w:r>
      </w:hyperlink>
      <w:r w:rsidRPr="00EE5D57">
        <w:rPr>
          <w:rFonts w:asciiTheme="minorHAnsi" w:hAnsiTheme="minorHAnsi"/>
        </w:rPr>
        <w:t>.</w:t>
      </w:r>
    </w:p>
    <w:p w:rsidR="00EE5D57" w:rsidRPr="00EE5D57" w:rsidRDefault="00EE5D57" w:rsidP="00EE5D57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9 Pytanie:</w:t>
      </w:r>
    </w:p>
    <w:p w:rsidR="00FA0AB3" w:rsidRDefault="00BB1A1F" w:rsidP="00EE5D57">
      <w:pPr>
        <w:spacing w:before="120" w:line="320" w:lineRule="exact"/>
        <w:jc w:val="both"/>
        <w:rPr>
          <w:rFonts w:asciiTheme="minorHAnsi" w:hAnsiTheme="minorHAnsi"/>
        </w:rPr>
      </w:pPr>
      <w:r w:rsidRPr="00EE5D57">
        <w:rPr>
          <w:rFonts w:asciiTheme="minorHAnsi" w:hAnsiTheme="minorHAnsi"/>
        </w:rPr>
        <w:t xml:space="preserve">Czy podatek VAT w premiach jest kwalifikowalny? (Zakładając, że wnioskodawca nie będzie </w:t>
      </w:r>
      <w:proofErr w:type="spellStart"/>
      <w:r w:rsidRPr="00EE5D57">
        <w:rPr>
          <w:rFonts w:asciiTheme="minorHAnsi" w:hAnsiTheme="minorHAnsi"/>
        </w:rPr>
        <w:t>VATowcem</w:t>
      </w:r>
      <w:proofErr w:type="spellEnd"/>
      <w:r w:rsidRPr="00EE5D57">
        <w:rPr>
          <w:rFonts w:asciiTheme="minorHAnsi" w:hAnsiTheme="minorHAnsi"/>
        </w:rPr>
        <w:t xml:space="preserve">, wydaje nam się że VAT może być kwalifikowalny. Ponadto, część kosztów może być ponoszona jeszcze przed założeniem działalności –np. koszty ogólne,  a więc odzyskanie od nich </w:t>
      </w:r>
      <w:proofErr w:type="spellStart"/>
      <w:r w:rsidRPr="00EE5D57">
        <w:rPr>
          <w:rFonts w:asciiTheme="minorHAnsi" w:hAnsiTheme="minorHAnsi"/>
        </w:rPr>
        <w:t>VATu</w:t>
      </w:r>
      <w:proofErr w:type="spellEnd"/>
      <w:r w:rsidRPr="00EE5D57">
        <w:rPr>
          <w:rFonts w:asciiTheme="minorHAnsi" w:hAnsiTheme="minorHAnsi"/>
        </w:rPr>
        <w:t xml:space="preserve"> jest niemożliwe – czy w takim przypadku cześć kosztów może być kwalifikowana jako brutto, a część netto?)</w:t>
      </w:r>
    </w:p>
    <w:p w:rsidR="00EE5D57" w:rsidRPr="00EE5D57" w:rsidRDefault="00EE5D57" w:rsidP="00EE5D57">
      <w:pPr>
        <w:spacing w:before="120" w:line="320" w:lineRule="exact"/>
        <w:jc w:val="both"/>
        <w:rPr>
          <w:rFonts w:asciiTheme="minorHAnsi" w:hAnsiTheme="minorHAnsi"/>
          <w:b/>
          <w:u w:val="single"/>
        </w:rPr>
      </w:pPr>
      <w:r w:rsidRPr="00EE5D57">
        <w:rPr>
          <w:rFonts w:asciiTheme="minorHAnsi" w:hAnsiTheme="minorHAnsi"/>
          <w:b/>
          <w:highlight w:val="yellow"/>
          <w:u w:val="single"/>
        </w:rPr>
        <w:t>9 Odpowiedź:</w:t>
      </w:r>
    </w:p>
    <w:p w:rsidR="00FF0B78" w:rsidRPr="00EE5D57" w:rsidRDefault="00FF0B78" w:rsidP="00EE5D57">
      <w:pPr>
        <w:spacing w:before="120" w:line="320" w:lineRule="exact"/>
        <w:jc w:val="both"/>
        <w:rPr>
          <w:rFonts w:asciiTheme="minorHAnsi" w:hAnsiTheme="minorHAnsi"/>
          <w:iCs/>
          <w:color w:val="000000"/>
        </w:rPr>
      </w:pPr>
      <w:r w:rsidRPr="00EE5D57">
        <w:rPr>
          <w:rFonts w:asciiTheme="minorHAnsi" w:hAnsiTheme="minorHAnsi"/>
        </w:rPr>
        <w:t xml:space="preserve">Pomoc </w:t>
      </w:r>
      <w:r w:rsidRPr="00EE5D57">
        <w:rPr>
          <w:rFonts w:asciiTheme="minorHAnsi" w:hAnsiTheme="minorHAnsi"/>
          <w:iCs/>
          <w:color w:val="000000"/>
        </w:rPr>
        <w:t xml:space="preserve">na operacje w zakresie podejmowania działalności gospodarczej, </w:t>
      </w:r>
      <w:r w:rsidRPr="00EE5D57">
        <w:rPr>
          <w:rFonts w:asciiTheme="minorHAnsi" w:hAnsiTheme="minorHAnsi"/>
          <w:color w:val="000000"/>
        </w:rPr>
        <w:t>jest przyznawana w formie ryczałtu</w:t>
      </w:r>
      <w:r w:rsidRPr="00EE5D57">
        <w:rPr>
          <w:rFonts w:asciiTheme="minorHAnsi" w:hAnsiTheme="minorHAnsi"/>
          <w:iCs/>
          <w:color w:val="000000"/>
        </w:rPr>
        <w:t xml:space="preserve">. Objęte operacją koszty muszą być uzasadnione zakresem rzeczowym, </w:t>
      </w:r>
      <w:r w:rsidRPr="00EE5D57">
        <w:rPr>
          <w:rFonts w:asciiTheme="minorHAnsi" w:hAnsiTheme="minorHAnsi"/>
          <w:color w:val="000000"/>
        </w:rPr>
        <w:t>niezbędne do osiągnięcia celów określonych w biznesplanie oraz racjonalne.</w:t>
      </w:r>
      <w:r w:rsidR="00EE5D57" w:rsidRPr="00EE5D57">
        <w:rPr>
          <w:rFonts w:asciiTheme="minorHAnsi" w:hAnsiTheme="minorHAnsi"/>
          <w:iCs/>
          <w:color w:val="000000"/>
        </w:rPr>
        <w:t xml:space="preserve"> </w:t>
      </w:r>
      <w:r w:rsidRPr="00EE5D57">
        <w:rPr>
          <w:rFonts w:asciiTheme="minorHAnsi" w:hAnsiTheme="minorHAnsi"/>
          <w:color w:val="000000"/>
        </w:rPr>
        <w:t xml:space="preserve">Ponadto, stosowane są także ogólne reguły wynikające m.in. z art. 45 ust. 2 rozporządzenia Parlamentu Europejskiego i Rady (UE) nr 1305/2013 z dnia 17 grudnia 2013 r. w sprawie wsparcia rozwoju obszarów wiejskich przez Europejski Fundusz Rolny na rzecz Rozwoju Obszarów Wiejskich (EFRROW) i uchylającego rozporządzenie Rady (WE) nr 1698/2005 (Dz. U. L. 347 z 20.12.2013, str. 487, z późn. </w:t>
      </w:r>
      <w:proofErr w:type="spellStart"/>
      <w:r w:rsidRPr="00EE5D57">
        <w:rPr>
          <w:rFonts w:asciiTheme="minorHAnsi" w:hAnsiTheme="minorHAnsi"/>
          <w:color w:val="000000"/>
        </w:rPr>
        <w:t>zm</w:t>
      </w:r>
      <w:proofErr w:type="spellEnd"/>
      <w:r w:rsidRPr="00EE5D57">
        <w:rPr>
          <w:rFonts w:asciiTheme="minorHAnsi" w:hAnsiTheme="minorHAnsi"/>
          <w:color w:val="000000"/>
        </w:rPr>
        <w:t xml:space="preserve">). Zgodnie z projektowaną zmianą rozporządzenia, koszty planowane do poniesienia w ramach operacji </w:t>
      </w:r>
      <w:r w:rsidR="00550B85" w:rsidRPr="00EE5D57">
        <w:rPr>
          <w:rFonts w:asciiTheme="minorHAnsi" w:hAnsiTheme="minorHAnsi"/>
          <w:color w:val="000000"/>
        </w:rPr>
        <w:t>w </w:t>
      </w:r>
      <w:r w:rsidRPr="00EE5D57">
        <w:rPr>
          <w:rFonts w:asciiTheme="minorHAnsi" w:hAnsiTheme="minorHAnsi"/>
          <w:color w:val="000000"/>
        </w:rPr>
        <w:t>zakresie podejmowania działalności gospodarczej winny mieścić się w zakresie kosztów, o których mowa w</w:t>
      </w:r>
      <w:r w:rsidR="00550B85" w:rsidRPr="00EE5D57">
        <w:rPr>
          <w:rFonts w:asciiTheme="minorHAnsi" w:hAnsiTheme="minorHAnsi"/>
        </w:rPr>
        <w:t xml:space="preserve"> § 17 ust. 1 ww. rozporządzenia. Oznacza to, że zgodnie z pkt. 9 tego przepisu kosztem kwalifikowalnym może być również podatek od towarów i usług (VAT), na zasadach określonych w art. 69 ust. 3 lit. c rozporządzenia 1303/2013. </w:t>
      </w:r>
    </w:p>
    <w:p w:rsidR="00F824E4" w:rsidRPr="00EE5D57" w:rsidRDefault="00550B85" w:rsidP="00EE5D57">
      <w:pPr>
        <w:spacing w:before="120" w:line="320" w:lineRule="exact"/>
        <w:jc w:val="both"/>
        <w:rPr>
          <w:rFonts w:asciiTheme="minorHAnsi" w:hAnsiTheme="minorHAnsi"/>
          <w:color w:val="000000"/>
        </w:rPr>
      </w:pPr>
      <w:r w:rsidRPr="00EE5D57">
        <w:rPr>
          <w:rFonts w:asciiTheme="minorHAnsi" w:hAnsiTheme="minorHAnsi"/>
          <w:color w:val="000000"/>
        </w:rPr>
        <w:t>Ponadto</w:t>
      </w:r>
      <w:r w:rsidR="00087930" w:rsidRPr="00EE5D57">
        <w:rPr>
          <w:rFonts w:asciiTheme="minorHAnsi" w:hAnsiTheme="minorHAnsi"/>
          <w:color w:val="000000"/>
        </w:rPr>
        <w:t xml:space="preserve"> informuję, że zgodnie z orzecznictwem podmiot, który podejmie działalność gospodarczą i zostanie płatnikiem podatku VAT może odzyskać VAT od zakupów </w:t>
      </w:r>
      <w:r w:rsidR="00453FDB" w:rsidRPr="00EE5D57">
        <w:rPr>
          <w:rFonts w:asciiTheme="minorHAnsi" w:hAnsiTheme="minorHAnsi"/>
          <w:color w:val="000000"/>
        </w:rPr>
        <w:t xml:space="preserve">związanych z prowadzoną działalnością </w:t>
      </w:r>
      <w:r w:rsidR="00087930" w:rsidRPr="00EE5D57">
        <w:rPr>
          <w:rFonts w:asciiTheme="minorHAnsi" w:hAnsiTheme="minorHAnsi"/>
          <w:color w:val="000000"/>
        </w:rPr>
        <w:t>dokonanych przed zaistnieniem ww. zdarzeń</w:t>
      </w:r>
      <w:r w:rsidR="000674F6" w:rsidRPr="00EE5D57">
        <w:rPr>
          <w:rFonts w:asciiTheme="minorHAnsi" w:hAnsiTheme="minorHAnsi"/>
          <w:color w:val="000000"/>
        </w:rPr>
        <w:t>.</w:t>
      </w:r>
      <w:r w:rsidR="00EE5D57" w:rsidRPr="00EE5D57">
        <w:rPr>
          <w:rFonts w:asciiTheme="minorHAnsi" w:hAnsiTheme="minorHAnsi"/>
          <w:color w:val="000000"/>
        </w:rPr>
        <w:t xml:space="preserve"> </w:t>
      </w:r>
      <w:r w:rsidR="00F824E4" w:rsidRPr="00EE5D57">
        <w:rPr>
          <w:rFonts w:asciiTheme="minorHAnsi" w:hAnsiTheme="minorHAnsi"/>
          <w:color w:val="000000"/>
        </w:rPr>
        <w:t>Decyzja, czy planowane wydatki powinny być podane w wartościach netto czy brutto zależy zatem do beneficjenta.  On zdecyduje bowiem, czy VA będzie dla niego kosztem, czy też będzie mógł go odzyskać w ramach prowadzonej działalności gospodarczej.</w:t>
      </w:r>
    </w:p>
    <w:sectPr w:rsidR="00F824E4" w:rsidRPr="00EE5D57" w:rsidSect="008C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46A"/>
    <w:multiLevelType w:val="hybridMultilevel"/>
    <w:tmpl w:val="116C9B0C"/>
    <w:lvl w:ilvl="0" w:tplc="0C2C44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873F08"/>
    <w:multiLevelType w:val="hybridMultilevel"/>
    <w:tmpl w:val="CC26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4E3"/>
    <w:multiLevelType w:val="hybridMultilevel"/>
    <w:tmpl w:val="088414FA"/>
    <w:lvl w:ilvl="0" w:tplc="0AD6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4B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8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C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CB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3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8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EB418E"/>
    <w:multiLevelType w:val="hybridMultilevel"/>
    <w:tmpl w:val="B36CDF4A"/>
    <w:lvl w:ilvl="0" w:tplc="6D3CF1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50843"/>
    <w:multiLevelType w:val="hybridMultilevel"/>
    <w:tmpl w:val="8A42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456E"/>
    <w:multiLevelType w:val="hybridMultilevel"/>
    <w:tmpl w:val="CC26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3"/>
    <w:rsid w:val="00004000"/>
    <w:rsid w:val="000608DD"/>
    <w:rsid w:val="000611ED"/>
    <w:rsid w:val="000674F6"/>
    <w:rsid w:val="00087930"/>
    <w:rsid w:val="001C7549"/>
    <w:rsid w:val="002E2E15"/>
    <w:rsid w:val="002F7C5E"/>
    <w:rsid w:val="00372FF3"/>
    <w:rsid w:val="003F7155"/>
    <w:rsid w:val="00453FDB"/>
    <w:rsid w:val="0049386F"/>
    <w:rsid w:val="004E29DF"/>
    <w:rsid w:val="005222F7"/>
    <w:rsid w:val="00550B85"/>
    <w:rsid w:val="00676568"/>
    <w:rsid w:val="006856BF"/>
    <w:rsid w:val="008A03A5"/>
    <w:rsid w:val="008A43AC"/>
    <w:rsid w:val="008C4F0B"/>
    <w:rsid w:val="008C4FE7"/>
    <w:rsid w:val="008E7C64"/>
    <w:rsid w:val="0099092E"/>
    <w:rsid w:val="00A13A55"/>
    <w:rsid w:val="00A73015"/>
    <w:rsid w:val="00A85432"/>
    <w:rsid w:val="00AD6463"/>
    <w:rsid w:val="00B204F8"/>
    <w:rsid w:val="00BB1A1F"/>
    <w:rsid w:val="00C114D7"/>
    <w:rsid w:val="00CB55E6"/>
    <w:rsid w:val="00D45BCD"/>
    <w:rsid w:val="00DC2BFC"/>
    <w:rsid w:val="00E32996"/>
    <w:rsid w:val="00E36AA4"/>
    <w:rsid w:val="00EA3830"/>
    <w:rsid w:val="00EE5D57"/>
    <w:rsid w:val="00F60000"/>
    <w:rsid w:val="00F824E4"/>
    <w:rsid w:val="00FA0AB3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4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B3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A03A5"/>
    <w:pPr>
      <w:keepNext/>
      <w:ind w:left="4956"/>
      <w:outlineLvl w:val="0"/>
    </w:pPr>
    <w:rPr>
      <w:rFonts w:ascii="Times New Roman" w:eastAsia="Times New Roman" w:hAnsi="Times New Roman"/>
      <w:b/>
      <w:color w:val="00000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A0AB3"/>
  </w:style>
  <w:style w:type="paragraph" w:styleId="Akapitzlist">
    <w:name w:val="List Paragraph"/>
    <w:basedOn w:val="Normalny"/>
    <w:uiPriority w:val="34"/>
    <w:qFormat/>
    <w:rsid w:val="00FA0AB3"/>
    <w:pPr>
      <w:ind w:left="720"/>
      <w:contextualSpacing/>
    </w:pPr>
  </w:style>
  <w:style w:type="table" w:styleId="Tabela-Siatka">
    <w:name w:val="Table Grid"/>
    <w:basedOn w:val="Standardowy"/>
    <w:rsid w:val="008A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8A03A5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5E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5E6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B3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A03A5"/>
    <w:pPr>
      <w:keepNext/>
      <w:ind w:left="4956"/>
      <w:outlineLvl w:val="0"/>
    </w:pPr>
    <w:rPr>
      <w:rFonts w:ascii="Times New Roman" w:eastAsia="Times New Roman" w:hAnsi="Times New Roman"/>
      <w:b/>
      <w:color w:val="00000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A0AB3"/>
  </w:style>
  <w:style w:type="paragraph" w:styleId="Akapitzlist">
    <w:name w:val="List Paragraph"/>
    <w:basedOn w:val="Normalny"/>
    <w:uiPriority w:val="34"/>
    <w:qFormat/>
    <w:rsid w:val="00FA0AB3"/>
    <w:pPr>
      <w:ind w:left="720"/>
      <w:contextualSpacing/>
    </w:pPr>
  </w:style>
  <w:style w:type="table" w:styleId="Tabela-Siatka">
    <w:name w:val="Table Grid"/>
    <w:basedOn w:val="Standardowy"/>
    <w:rsid w:val="008A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8A03A5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5E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5E6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5</cp:revision>
  <dcterms:created xsi:type="dcterms:W3CDTF">2016-08-23T14:13:00Z</dcterms:created>
  <dcterms:modified xsi:type="dcterms:W3CDTF">2016-08-23T14:18:00Z</dcterms:modified>
</cp:coreProperties>
</file>